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4DB76" w14:textId="77777777" w:rsidR="00A31806" w:rsidRDefault="00A31806">
      <w:pPr>
        <w:rPr>
          <w:b/>
          <w:i/>
        </w:rPr>
      </w:pPr>
    </w:p>
    <w:p w14:paraId="5B28C4D8" w14:textId="77777777" w:rsidR="00F81A28" w:rsidRDefault="007E6460">
      <w:pPr>
        <w:jc w:val="center"/>
        <w:rPr>
          <w:b/>
          <w:i/>
          <w:sz w:val="28"/>
          <w:szCs w:val="28"/>
        </w:rPr>
      </w:pPr>
      <w:r>
        <w:rPr>
          <w:b/>
          <w:i/>
          <w:sz w:val="28"/>
          <w:szCs w:val="28"/>
        </w:rPr>
        <w:t>Un rite, un chant</w:t>
      </w:r>
    </w:p>
    <w:p w14:paraId="46146723" w14:textId="77777777" w:rsidR="00F81A28" w:rsidRPr="00693358" w:rsidRDefault="00F81A28">
      <w:pPr>
        <w:rPr>
          <w:sz w:val="20"/>
        </w:rPr>
      </w:pPr>
    </w:p>
    <w:p w14:paraId="17C58D4C" w14:textId="3BE185F5" w:rsidR="00F81A28" w:rsidRDefault="00A31806">
      <w:pPr>
        <w:jc w:val="center"/>
        <w:rPr>
          <w:b/>
        </w:rPr>
      </w:pPr>
      <w:r>
        <w:rPr>
          <w:b/>
        </w:rPr>
        <w:t>Comme elle est heureuse et bénie</w:t>
      </w:r>
    </w:p>
    <w:p w14:paraId="10CA5F73" w14:textId="57002D6F" w:rsidR="00F81A28" w:rsidRDefault="007E6460">
      <w:pPr>
        <w:jc w:val="center"/>
        <w:rPr>
          <w:b/>
        </w:rPr>
      </w:pPr>
      <w:r>
        <w:rPr>
          <w:b/>
        </w:rPr>
        <w:t>(V</w:t>
      </w:r>
      <w:r w:rsidR="00A31806">
        <w:rPr>
          <w:b/>
        </w:rPr>
        <w:t>P [V] 293-1</w:t>
      </w:r>
      <w:r>
        <w:rPr>
          <w:b/>
        </w:rPr>
        <w:t xml:space="preserve"> / </w:t>
      </w:r>
      <w:r>
        <w:rPr>
          <w:b/>
          <w:i/>
        </w:rPr>
        <w:t>CNA</w:t>
      </w:r>
      <w:r w:rsidR="00E8278B">
        <w:rPr>
          <w:b/>
        </w:rPr>
        <w:t xml:space="preserve"> 618</w:t>
      </w:r>
      <w:r>
        <w:rPr>
          <w:b/>
        </w:rPr>
        <w:t>)</w:t>
      </w:r>
    </w:p>
    <w:p w14:paraId="3EBC7327" w14:textId="5475294C" w:rsidR="00F81A28" w:rsidRDefault="00E8278B">
      <w:pPr>
        <w:jc w:val="center"/>
        <w:rPr>
          <w:b/>
          <w:i/>
        </w:rPr>
      </w:pPr>
      <w:bookmarkStart w:id="0" w:name="_heading=h.30j0zll" w:colFirst="0" w:colLast="0"/>
      <w:bookmarkEnd w:id="0"/>
      <w:r>
        <w:rPr>
          <w:b/>
          <w:i/>
        </w:rPr>
        <w:t>Promotion CELPS 2001</w:t>
      </w:r>
    </w:p>
    <w:p w14:paraId="5E9A77BB" w14:textId="77777777" w:rsidR="00F81A28" w:rsidRPr="00693358" w:rsidRDefault="00F81A28">
      <w:pPr>
        <w:rPr>
          <w:b/>
          <w:i/>
          <w:sz w:val="20"/>
        </w:rPr>
      </w:pPr>
    </w:p>
    <w:p w14:paraId="66F03598" w14:textId="77777777" w:rsidR="00F81A28" w:rsidRDefault="007E6460">
      <w:pPr>
        <w:rPr>
          <w:b/>
          <w:i/>
        </w:rPr>
      </w:pPr>
      <w:r>
        <w:rPr>
          <w:b/>
          <w:i/>
        </w:rPr>
        <w:t>Critères de choix</w:t>
      </w:r>
    </w:p>
    <w:p w14:paraId="2845014E" w14:textId="77777777" w:rsidR="00F81A28" w:rsidRPr="00693358" w:rsidRDefault="00F81A28">
      <w:pPr>
        <w:rPr>
          <w:sz w:val="20"/>
        </w:rPr>
      </w:pPr>
    </w:p>
    <w:p w14:paraId="7A4FD530" w14:textId="77777777" w:rsidR="00F81A28" w:rsidRDefault="007E6460">
      <w:pPr>
        <w:spacing w:after="120"/>
        <w:rPr>
          <w:b/>
          <w:smallCaps/>
          <w:sz w:val="28"/>
          <w:szCs w:val="28"/>
        </w:rPr>
      </w:pPr>
      <w:r>
        <w:rPr>
          <w:b/>
          <w:smallCaps/>
          <w:sz w:val="28"/>
          <w:szCs w:val="28"/>
        </w:rPr>
        <w:t>Rite et assemblée</w:t>
      </w:r>
    </w:p>
    <w:p w14:paraId="63B29A0E" w14:textId="77777777" w:rsidR="00F81A28" w:rsidRDefault="007E6460" w:rsidP="00B04F1E">
      <w:pPr>
        <w:pBdr>
          <w:top w:val="single" w:sz="4" w:space="1" w:color="000000"/>
          <w:left w:val="single" w:sz="4" w:space="0" w:color="000000"/>
          <w:bottom w:val="single" w:sz="4" w:space="1" w:color="000000"/>
          <w:right w:val="single" w:sz="4" w:space="4" w:color="000000"/>
        </w:pBdr>
        <w:jc w:val="both"/>
        <w:rPr>
          <w:i/>
        </w:rPr>
      </w:pPr>
      <w:r>
        <w:rPr>
          <w:i/>
        </w:rPr>
        <w:t xml:space="preserve">« Le couple </w:t>
      </w:r>
      <w:r>
        <w:t>rite-assemblée</w:t>
      </w:r>
      <w:r>
        <w:rPr>
          <w:i/>
        </w:rPr>
        <w:t xml:space="preserve"> est sous-jacent au couple texte-musique mais il est plus radical, car le rite est "pour" l’assemblée mais il n’existe que "par" l’assemblée</w:t>
      </w:r>
      <w:r>
        <w:rPr>
          <w:vertAlign w:val="superscript"/>
        </w:rPr>
        <w:footnoteReference w:id="1"/>
      </w:r>
      <w:r>
        <w:rPr>
          <w:i/>
        </w:rPr>
        <w:t>. »</w:t>
      </w:r>
    </w:p>
    <w:p w14:paraId="55CD0298" w14:textId="77777777" w:rsidR="00F81A28" w:rsidRDefault="00F81A28"/>
    <w:p w14:paraId="34E9768F" w14:textId="263BD43E" w:rsidR="00F81A28" w:rsidRPr="00B900E6" w:rsidRDefault="007E6460" w:rsidP="00B900E6">
      <w:pPr>
        <w:numPr>
          <w:ilvl w:val="0"/>
          <w:numId w:val="4"/>
        </w:numPr>
        <w:pBdr>
          <w:top w:val="nil"/>
          <w:left w:val="nil"/>
          <w:bottom w:val="nil"/>
          <w:right w:val="nil"/>
          <w:between w:val="nil"/>
        </w:pBdr>
        <w:spacing w:after="120"/>
        <w:ind w:left="425" w:hanging="357"/>
        <w:rPr>
          <w:b/>
          <w:color w:val="000000"/>
        </w:rPr>
      </w:pPr>
      <w:r>
        <w:rPr>
          <w:b/>
          <w:color w:val="000000"/>
        </w:rPr>
        <w:t>Convenance liturgique</w:t>
      </w:r>
      <w:bookmarkStart w:id="1" w:name="_heading=h.gjdgxs" w:colFirst="0" w:colLast="0"/>
      <w:bookmarkEnd w:id="1"/>
    </w:p>
    <w:p w14:paraId="7B7610A8" w14:textId="6E211104" w:rsidR="00F81A28" w:rsidRDefault="007E6460">
      <w:pPr>
        <w:numPr>
          <w:ilvl w:val="0"/>
          <w:numId w:val="6"/>
        </w:numPr>
        <w:spacing w:after="120"/>
        <w:ind w:left="714" w:hanging="357"/>
      </w:pPr>
      <w:bookmarkStart w:id="2" w:name="_heading=h.690zqv702jb4" w:colFirst="0" w:colLast="0"/>
      <w:bookmarkEnd w:id="2"/>
      <w:r>
        <w:rPr>
          <w:i/>
        </w:rPr>
        <w:t>Pour quel temps liturgique ?</w:t>
      </w:r>
      <w:r>
        <w:t xml:space="preserve"> </w:t>
      </w:r>
      <w:r w:rsidR="00E8278B">
        <w:t>Avent-Noël</w:t>
      </w:r>
    </w:p>
    <w:p w14:paraId="7B69EC85" w14:textId="17C8D5D2" w:rsidR="00F81A28" w:rsidRDefault="007E6460">
      <w:pPr>
        <w:spacing w:after="120"/>
        <w:ind w:left="709"/>
      </w:pPr>
      <w:bookmarkStart w:id="3" w:name="_heading=h.1fob9te" w:colFirst="0" w:colLast="0"/>
      <w:bookmarkEnd w:id="3"/>
      <w:r>
        <w:t xml:space="preserve">Si ce chant </w:t>
      </w:r>
      <w:r w:rsidR="00E8278B">
        <w:t>peut convenir à certaines</w:t>
      </w:r>
      <w:r>
        <w:t xml:space="preserve"> fêtes mariales</w:t>
      </w:r>
      <w:r w:rsidR="00E8278B">
        <w:t>,</w:t>
      </w:r>
      <w:r>
        <w:t xml:space="preserve"> </w:t>
      </w:r>
      <w:r w:rsidR="00E8278B">
        <w:t xml:space="preserve">il sera </w:t>
      </w:r>
      <w:r w:rsidR="009E61D1">
        <w:t xml:space="preserve">aussi </w:t>
      </w:r>
      <w:r w:rsidR="009126A5">
        <w:t xml:space="preserve">bien </w:t>
      </w:r>
      <w:bookmarkStart w:id="4" w:name="_GoBack"/>
      <w:bookmarkEnd w:id="4"/>
      <w:r w:rsidR="00E8278B">
        <w:t>adapté aux temps de l’Avent</w:t>
      </w:r>
      <w:r w:rsidR="009E61D1">
        <w:rPr>
          <w:highlight w:val="white"/>
          <w:vertAlign w:val="superscript"/>
        </w:rPr>
        <w:footnoteReference w:id="2"/>
      </w:r>
      <w:r w:rsidR="00E8278B">
        <w:t xml:space="preserve"> et Noël</w:t>
      </w:r>
      <w:r>
        <w:t xml:space="preserve"> qui honorent plus parti</w:t>
      </w:r>
      <w:r w:rsidR="00E8278B">
        <w:t>culièrement Marie</w:t>
      </w:r>
      <w:r w:rsidR="009E61D1">
        <w:rPr>
          <w:highlight w:val="white"/>
        </w:rPr>
        <w:t>, à la lumière des my</w:t>
      </w:r>
      <w:r w:rsidR="00693358">
        <w:rPr>
          <w:highlight w:val="white"/>
        </w:rPr>
        <w:t>stères joyeux de l’Incarnation.</w:t>
      </w:r>
    </w:p>
    <w:p w14:paraId="29A3B54F" w14:textId="4038131E" w:rsidR="00F81A28" w:rsidRDefault="00B04F1E">
      <w:pPr>
        <w:numPr>
          <w:ilvl w:val="0"/>
          <w:numId w:val="6"/>
        </w:numPr>
        <w:spacing w:after="120"/>
        <w:ind w:left="714" w:hanging="357"/>
      </w:pPr>
      <w:r>
        <w:rPr>
          <w:noProof/>
        </w:rPr>
        <mc:AlternateContent>
          <mc:Choice Requires="wps">
            <w:drawing>
              <wp:anchor distT="0" distB="0" distL="114300" distR="114300" simplePos="0" relativeHeight="251658240" behindDoc="0" locked="0" layoutInCell="1" hidden="0" allowOverlap="1" wp14:anchorId="73E46012" wp14:editId="2EEBE772">
                <wp:simplePos x="0" y="0"/>
                <wp:positionH relativeFrom="column">
                  <wp:posOffset>4236720</wp:posOffset>
                </wp:positionH>
                <wp:positionV relativeFrom="paragraph">
                  <wp:posOffset>140335</wp:posOffset>
                </wp:positionV>
                <wp:extent cx="2512695" cy="3088640"/>
                <wp:effectExtent l="25400" t="25400" r="52705" b="60960"/>
                <wp:wrapSquare wrapText="bothSides" distT="0" distB="0" distL="114300" distR="114300"/>
                <wp:docPr id="6" name="Rectangle 6"/>
                <wp:cNvGraphicFramePr/>
                <a:graphic xmlns:a="http://schemas.openxmlformats.org/drawingml/2006/main">
                  <a:graphicData uri="http://schemas.microsoft.com/office/word/2010/wordprocessingShape">
                    <wps:wsp>
                      <wps:cNvSpPr/>
                      <wps:spPr>
                        <a:xfrm>
                          <a:off x="0" y="0"/>
                          <a:ext cx="2512695" cy="3088640"/>
                        </a:xfrm>
                        <a:prstGeom prst="rect">
                          <a:avLst/>
                        </a:prstGeom>
                        <a:noFill/>
                        <a:ln w="76200" cap="flat" cmpd="thickThin">
                          <a:solidFill>
                            <a:srgbClr val="632423"/>
                          </a:solidFill>
                          <a:prstDash val="solid"/>
                          <a:miter lim="800000"/>
                          <a:headEnd type="none" w="sm" len="sm"/>
                          <a:tailEnd type="none" w="sm" len="sm"/>
                        </a:ln>
                      </wps:spPr>
                      <wps:txbx>
                        <w:txbxContent>
                          <w:p w14:paraId="187EEFA5" w14:textId="77777777" w:rsidR="00821C68" w:rsidRPr="00B04F1E" w:rsidRDefault="00821C68" w:rsidP="00B04F1E">
                            <w:pPr>
                              <w:textDirection w:val="btLr"/>
                              <w:rPr>
                                <w:rFonts w:ascii="Calibri" w:eastAsia="Calibri" w:hAnsi="Calibri" w:cs="Calibri"/>
                                <w:b/>
                                <w:i/>
                                <w:color w:val="000000"/>
                                <w:sz w:val="20"/>
                              </w:rPr>
                            </w:pPr>
                            <w:r w:rsidRPr="00B04F1E">
                              <w:rPr>
                                <w:rFonts w:ascii="Calibri" w:eastAsia="Calibri" w:hAnsi="Calibri" w:cs="Calibri"/>
                                <w:b/>
                                <w:i/>
                                <w:color w:val="000000"/>
                                <w:sz w:val="20"/>
                              </w:rPr>
                              <w:t>Mémo. : Ce</w:t>
                            </w:r>
                            <w:r w:rsidRPr="00B04F1E">
                              <w:rPr>
                                <w:rFonts w:ascii="Calibri" w:eastAsia="Calibri" w:hAnsi="Calibri" w:cs="Calibri"/>
                                <w:b/>
                                <w:color w:val="000000"/>
                                <w:sz w:val="20"/>
                              </w:rPr>
                              <w:t xml:space="preserve"> </w:t>
                            </w:r>
                            <w:r w:rsidRPr="00B04F1E">
                              <w:rPr>
                                <w:rFonts w:ascii="Calibri" w:eastAsia="Calibri" w:hAnsi="Calibri" w:cs="Calibri"/>
                                <w:b/>
                                <w:i/>
                                <w:color w:val="000000"/>
                                <w:sz w:val="20"/>
                              </w:rPr>
                              <w:t>que la liturgie propose pour l’action de grâce après la communion…</w:t>
                            </w:r>
                          </w:p>
                          <w:p w14:paraId="58BC595E" w14:textId="77777777" w:rsidR="00821C68" w:rsidRPr="00B04F1E" w:rsidRDefault="00821C68" w:rsidP="00B04F1E">
                            <w:pPr>
                              <w:textDirection w:val="btLr"/>
                              <w:rPr>
                                <w:sz w:val="28"/>
                              </w:rPr>
                            </w:pPr>
                          </w:p>
                          <w:p w14:paraId="4CBD4F7A" w14:textId="77777777" w:rsidR="00821C68" w:rsidRPr="00B04F1E" w:rsidRDefault="00821C68" w:rsidP="00B04F1E">
                            <w:pPr>
                              <w:textDirection w:val="btLr"/>
                              <w:rPr>
                                <w:rFonts w:ascii="Calibri" w:eastAsia="Calibri" w:hAnsi="Calibri" w:cs="Calibri"/>
                                <w:color w:val="000000"/>
                                <w:sz w:val="20"/>
                              </w:rPr>
                            </w:pPr>
                            <w:r w:rsidRPr="00B04F1E">
                              <w:rPr>
                                <w:rFonts w:ascii="Calibri" w:eastAsia="Calibri" w:hAnsi="Calibri" w:cs="Calibri"/>
                                <w:color w:val="000000"/>
                                <w:sz w:val="20"/>
                              </w:rPr>
                              <w:t>“Lorsque la distribution de la communion est achevée, le prêtre et les fidèles, si cela est opportun, prient en silence pendant un certain temps. Si on le décide ainsi, toute l’assemblée pourra aussi exécuter une hymne, un psaume, ou un autre chant de louange.” (</w:t>
                            </w:r>
                            <w:r w:rsidRPr="00B04F1E">
                              <w:rPr>
                                <w:rFonts w:ascii="Calibri" w:eastAsia="Calibri" w:hAnsi="Calibri" w:cs="Calibri"/>
                                <w:i/>
                                <w:color w:val="000000"/>
                                <w:sz w:val="20"/>
                              </w:rPr>
                              <w:t>PGMR</w:t>
                            </w:r>
                            <w:r w:rsidRPr="00B04F1E">
                              <w:rPr>
                                <w:rFonts w:ascii="Calibri" w:eastAsia="Calibri" w:hAnsi="Calibri" w:cs="Calibri"/>
                                <w:color w:val="000000"/>
                                <w:sz w:val="20"/>
                              </w:rPr>
                              <w:t>, n° 88).</w:t>
                            </w:r>
                          </w:p>
                          <w:p w14:paraId="159EDD7B" w14:textId="77777777" w:rsidR="00821C68" w:rsidRPr="00B04F1E" w:rsidRDefault="00821C68" w:rsidP="00B04F1E">
                            <w:pPr>
                              <w:textDirection w:val="btLr"/>
                              <w:rPr>
                                <w:sz w:val="28"/>
                              </w:rPr>
                            </w:pPr>
                          </w:p>
                          <w:p w14:paraId="3FD46536" w14:textId="1A6535F0" w:rsidR="00821C68" w:rsidRPr="00821C68" w:rsidRDefault="00821C68" w:rsidP="00B04F1E">
                            <w:pPr>
                              <w:textDirection w:val="btLr"/>
                              <w:rPr>
                                <w:sz w:val="28"/>
                              </w:rPr>
                            </w:pPr>
                            <w:r w:rsidRPr="00B04F1E">
                              <w:rPr>
                                <w:rFonts w:ascii="Calibri" w:eastAsia="Calibri" w:hAnsi="Calibri" w:cs="Calibri"/>
                                <w:color w:val="000000"/>
                                <w:sz w:val="20"/>
                              </w:rPr>
                              <w:t xml:space="preserve">=&gt; Formes de chants possibles bien </w:t>
                            </w:r>
                            <w:proofErr w:type="spellStart"/>
                            <w:r w:rsidRPr="00B04F1E">
                              <w:rPr>
                                <w:rFonts w:ascii="Calibri" w:eastAsia="Calibri" w:hAnsi="Calibri" w:cs="Calibri"/>
                                <w:color w:val="000000"/>
                                <w:sz w:val="20"/>
                              </w:rPr>
                              <w:t>adaptées</w:t>
                            </w:r>
                            <w:proofErr w:type="spellEnd"/>
                            <w:r w:rsidRPr="00B04F1E">
                              <w:rPr>
                                <w:rFonts w:ascii="Calibri" w:eastAsia="Calibri" w:hAnsi="Calibri" w:cs="Calibri"/>
                                <w:color w:val="000000"/>
                                <w:sz w:val="20"/>
                              </w:rPr>
                              <w:t xml:space="preserve"> au programme rituel : hymne strophique ; psaume </w:t>
                            </w:r>
                            <w:proofErr w:type="spellStart"/>
                            <w:r w:rsidRPr="00B04F1E">
                              <w:rPr>
                                <w:rFonts w:ascii="Calibri" w:eastAsia="Calibri" w:hAnsi="Calibri" w:cs="Calibri"/>
                                <w:color w:val="000000"/>
                                <w:sz w:val="20"/>
                              </w:rPr>
                              <w:t>alléluiatique</w:t>
                            </w:r>
                            <w:proofErr w:type="spellEnd"/>
                            <w:r>
                              <w:rPr>
                                <w:rFonts w:ascii="Calibri" w:eastAsia="Calibri" w:hAnsi="Calibri" w:cs="Calibri"/>
                                <w:color w:val="000000"/>
                                <w:sz w:val="20"/>
                              </w:rPr>
                              <w:t xml:space="preserve"> (Ps 112 </w:t>
                            </w:r>
                            <w:r w:rsidRPr="00B04F1E">
                              <w:rPr>
                                <w:rFonts w:ascii="Calibri" w:eastAsia="Calibri" w:hAnsi="Calibri" w:cs="Calibri"/>
                                <w:color w:val="000000"/>
                                <w:sz w:val="20"/>
                              </w:rPr>
                              <w:t>; Ps 116 ; etc.) ; chant de louange responsorial</w:t>
                            </w:r>
                            <w:r>
                              <w:rPr>
                                <w:rFonts w:ascii="Calibri" w:eastAsia="Calibri" w:hAnsi="Calibri" w:cs="Calibri"/>
                                <w:color w:val="000000"/>
                                <w:sz w:val="18"/>
                              </w:rPr>
                              <w:t> </w:t>
                            </w:r>
                            <w:r w:rsidRPr="00821C68">
                              <w:rPr>
                                <w:rFonts w:ascii="Calibri" w:eastAsia="Calibri" w:hAnsi="Calibri" w:cs="Calibri"/>
                                <w:color w:val="000000"/>
                                <w:sz w:val="20"/>
                              </w:rPr>
                              <w:t>; certains cantiques à refrain.</w:t>
                            </w:r>
                          </w:p>
                        </w:txbxContent>
                      </wps:txbx>
                      <wps:bodyPr spcFirstLastPara="1" wrap="square" lIns="137150" tIns="91425" rIns="137150"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73E46012" id="Rectangle 6" o:spid="_x0000_s1026" style="position:absolute;left:0;text-align:left;margin-left:333.6pt;margin-top:11.05pt;width:197.85pt;height:2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" filled="f" strokecolor="#632423" strokeweight="6pt">
                <v:stroke startarrowwidth="narrow" startarrowlength="short" endarrowwidth="narrow" endarrowlength="short" linestyle="thickThin"/>
                <v:textbox inset="3.80972mm,2.53958mm,3.80972mm,2.53958mm">
                  <w:txbxContent>
                    <w:p w14:paraId="187EEFA5" w14:textId="77777777" w:rsidR="00821C68" w:rsidRPr="00B04F1E" w:rsidRDefault="00821C68" w:rsidP="00B04F1E">
                      <w:pPr>
                        <w:textDirection w:val="btLr"/>
                        <w:rPr>
                          <w:rFonts w:ascii="Calibri" w:eastAsia="Calibri" w:hAnsi="Calibri" w:cs="Calibri"/>
                          <w:b/>
                          <w:i/>
                          <w:color w:val="000000"/>
                          <w:sz w:val="20"/>
                        </w:rPr>
                      </w:pPr>
                      <w:r w:rsidRPr="00B04F1E">
                        <w:rPr>
                          <w:rFonts w:ascii="Calibri" w:eastAsia="Calibri" w:hAnsi="Calibri" w:cs="Calibri"/>
                          <w:b/>
                          <w:i/>
                          <w:color w:val="000000"/>
                          <w:sz w:val="20"/>
                        </w:rPr>
                        <w:t>Mémo. : Ce</w:t>
                      </w:r>
                      <w:r w:rsidRPr="00B04F1E">
                        <w:rPr>
                          <w:rFonts w:ascii="Calibri" w:eastAsia="Calibri" w:hAnsi="Calibri" w:cs="Calibri"/>
                          <w:b/>
                          <w:color w:val="000000"/>
                          <w:sz w:val="20"/>
                        </w:rPr>
                        <w:t xml:space="preserve"> </w:t>
                      </w:r>
                      <w:r w:rsidRPr="00B04F1E">
                        <w:rPr>
                          <w:rFonts w:ascii="Calibri" w:eastAsia="Calibri" w:hAnsi="Calibri" w:cs="Calibri"/>
                          <w:b/>
                          <w:i/>
                          <w:color w:val="000000"/>
                          <w:sz w:val="20"/>
                        </w:rPr>
                        <w:t>que la liturgie propose pour l’action de grâce après la communion…</w:t>
                      </w:r>
                    </w:p>
                    <w:p w14:paraId="58BC595E" w14:textId="77777777" w:rsidR="00821C68" w:rsidRPr="00B04F1E" w:rsidRDefault="00821C68" w:rsidP="00B04F1E">
                      <w:pPr>
                        <w:textDirection w:val="btLr"/>
                        <w:rPr>
                          <w:sz w:val="28"/>
                        </w:rPr>
                      </w:pPr>
                    </w:p>
                    <w:p w14:paraId="4CBD4F7A" w14:textId="77777777" w:rsidR="00821C68" w:rsidRPr="00B04F1E" w:rsidRDefault="00821C68" w:rsidP="00B04F1E">
                      <w:pPr>
                        <w:textDirection w:val="btLr"/>
                        <w:rPr>
                          <w:rFonts w:ascii="Calibri" w:eastAsia="Calibri" w:hAnsi="Calibri" w:cs="Calibri"/>
                          <w:color w:val="000000"/>
                          <w:sz w:val="20"/>
                        </w:rPr>
                      </w:pPr>
                      <w:r w:rsidRPr="00B04F1E">
                        <w:rPr>
                          <w:rFonts w:ascii="Calibri" w:eastAsia="Calibri" w:hAnsi="Calibri" w:cs="Calibri"/>
                          <w:color w:val="000000"/>
                          <w:sz w:val="20"/>
                        </w:rPr>
                        <w:t>“Lorsque la distribution de la communion est achevée, le prêtre et les fidèles, si cela est opportun, prient en silence pendant un certain temps. Si on le décide ainsi, toute l’assemblée pourra aussi exécuter une hymne, un psaume, ou un autre chant de louange.” (</w:t>
                      </w:r>
                      <w:r w:rsidRPr="00B04F1E">
                        <w:rPr>
                          <w:rFonts w:ascii="Calibri" w:eastAsia="Calibri" w:hAnsi="Calibri" w:cs="Calibri"/>
                          <w:i/>
                          <w:color w:val="000000"/>
                          <w:sz w:val="20"/>
                        </w:rPr>
                        <w:t>PGMR</w:t>
                      </w:r>
                      <w:r w:rsidRPr="00B04F1E">
                        <w:rPr>
                          <w:rFonts w:ascii="Calibri" w:eastAsia="Calibri" w:hAnsi="Calibri" w:cs="Calibri"/>
                          <w:color w:val="000000"/>
                          <w:sz w:val="20"/>
                        </w:rPr>
                        <w:t>, n° 88).</w:t>
                      </w:r>
                    </w:p>
                    <w:p w14:paraId="159EDD7B" w14:textId="77777777" w:rsidR="00821C68" w:rsidRPr="00B04F1E" w:rsidRDefault="00821C68" w:rsidP="00B04F1E">
                      <w:pPr>
                        <w:textDirection w:val="btLr"/>
                        <w:rPr>
                          <w:sz w:val="28"/>
                        </w:rPr>
                      </w:pPr>
                    </w:p>
                    <w:p w14:paraId="3FD46536" w14:textId="1A6535F0" w:rsidR="00821C68" w:rsidRPr="00821C68" w:rsidRDefault="00821C68" w:rsidP="00B04F1E">
                      <w:pPr>
                        <w:textDirection w:val="btLr"/>
                        <w:rPr>
                          <w:sz w:val="28"/>
                        </w:rPr>
                      </w:pPr>
                      <w:r w:rsidRPr="00B04F1E">
                        <w:rPr>
                          <w:rFonts w:ascii="Calibri" w:eastAsia="Calibri" w:hAnsi="Calibri" w:cs="Calibri"/>
                          <w:color w:val="000000"/>
                          <w:sz w:val="20"/>
                        </w:rPr>
                        <w:t xml:space="preserve">=&gt; Formes de chants possibles bien </w:t>
                      </w:r>
                      <w:proofErr w:type="spellStart"/>
                      <w:r w:rsidRPr="00B04F1E">
                        <w:rPr>
                          <w:rFonts w:ascii="Calibri" w:eastAsia="Calibri" w:hAnsi="Calibri" w:cs="Calibri"/>
                          <w:color w:val="000000"/>
                          <w:sz w:val="20"/>
                        </w:rPr>
                        <w:t>adaptées</w:t>
                      </w:r>
                      <w:proofErr w:type="spellEnd"/>
                      <w:r w:rsidRPr="00B04F1E">
                        <w:rPr>
                          <w:rFonts w:ascii="Calibri" w:eastAsia="Calibri" w:hAnsi="Calibri" w:cs="Calibri"/>
                          <w:color w:val="000000"/>
                          <w:sz w:val="20"/>
                        </w:rPr>
                        <w:t xml:space="preserve"> au programme rituel : hymne strophique ; psaume </w:t>
                      </w:r>
                      <w:proofErr w:type="spellStart"/>
                      <w:r w:rsidRPr="00B04F1E">
                        <w:rPr>
                          <w:rFonts w:ascii="Calibri" w:eastAsia="Calibri" w:hAnsi="Calibri" w:cs="Calibri"/>
                          <w:color w:val="000000"/>
                          <w:sz w:val="20"/>
                        </w:rPr>
                        <w:t>alléluiatique</w:t>
                      </w:r>
                      <w:proofErr w:type="spellEnd"/>
                      <w:r>
                        <w:rPr>
                          <w:rFonts w:ascii="Calibri" w:eastAsia="Calibri" w:hAnsi="Calibri" w:cs="Calibri"/>
                          <w:color w:val="000000"/>
                          <w:sz w:val="20"/>
                        </w:rPr>
                        <w:t xml:space="preserve"> (Ps 112 </w:t>
                      </w:r>
                      <w:r w:rsidRPr="00B04F1E">
                        <w:rPr>
                          <w:rFonts w:ascii="Calibri" w:eastAsia="Calibri" w:hAnsi="Calibri" w:cs="Calibri"/>
                          <w:color w:val="000000"/>
                          <w:sz w:val="20"/>
                        </w:rPr>
                        <w:t>; Ps 116 ; etc.) ; chant de louange responsorial</w:t>
                      </w:r>
                      <w:r>
                        <w:rPr>
                          <w:rFonts w:ascii="Calibri" w:eastAsia="Calibri" w:hAnsi="Calibri" w:cs="Calibri"/>
                          <w:color w:val="000000"/>
                          <w:sz w:val="18"/>
                        </w:rPr>
                        <w:t> </w:t>
                      </w:r>
                      <w:r w:rsidRPr="00821C68">
                        <w:rPr>
                          <w:rFonts w:ascii="Calibri" w:eastAsia="Calibri" w:hAnsi="Calibri" w:cs="Calibri"/>
                          <w:color w:val="000000"/>
                          <w:sz w:val="20"/>
                        </w:rPr>
                        <w:t>; certains cantiques à refrain.</w:t>
                      </w:r>
                    </w:p>
                  </w:txbxContent>
                </v:textbox>
                <w10:wrap type="square"/>
              </v:rect>
            </w:pict>
          </mc:Fallback>
        </mc:AlternateContent>
      </w:r>
      <w:r w:rsidR="007E6460">
        <w:rPr>
          <w:i/>
        </w:rPr>
        <w:t>Quelle attitude spirituelle ?</w:t>
      </w:r>
      <w:r w:rsidR="007E6460">
        <w:t xml:space="preserve"> </w:t>
      </w:r>
      <w:r w:rsidR="001B17C6">
        <w:rPr>
          <w:b/>
        </w:rPr>
        <w:t>C</w:t>
      </w:r>
      <w:r w:rsidR="00A31806">
        <w:rPr>
          <w:b/>
        </w:rPr>
        <w:t>ontempla</w:t>
      </w:r>
      <w:r w:rsidR="007E6460">
        <w:rPr>
          <w:b/>
        </w:rPr>
        <w:t>tion</w:t>
      </w:r>
      <w:r w:rsidR="001B17C6">
        <w:rPr>
          <w:b/>
        </w:rPr>
        <w:t xml:space="preserve"> et action de grâces</w:t>
      </w:r>
    </w:p>
    <w:p w14:paraId="5DEA8F0C" w14:textId="4928E077" w:rsidR="009E61D1" w:rsidRDefault="00693358" w:rsidP="009E61D1">
      <w:pPr>
        <w:spacing w:after="120"/>
        <w:ind w:left="714"/>
      </w:pPr>
      <w:r>
        <w:t>Ce chant propose une</w:t>
      </w:r>
      <w:r w:rsidR="00E8278B">
        <w:t xml:space="preserve"> méditation</w:t>
      </w:r>
      <w:r w:rsidR="00885F55">
        <w:t xml:space="preserve"> simple et</w:t>
      </w:r>
      <w:r w:rsidR="00E8278B">
        <w:t xml:space="preserve"> contemplative des différ</w:t>
      </w:r>
      <w:r w:rsidR="009E61D1">
        <w:t xml:space="preserve">entes dispositions intérieures qui ont été celles de Marie, de l’Annonciation à la naissance du Sauveur </w:t>
      </w:r>
      <w:r w:rsidR="00885F55">
        <w:t>« s</w:t>
      </w:r>
      <w:r>
        <w:t>ur le foin d’une étable. » Toutefois,</w:t>
      </w:r>
      <w:r w:rsidR="00885F55">
        <w:t xml:space="preserve"> </w:t>
      </w:r>
      <w:r>
        <w:t>il</w:t>
      </w:r>
      <w:r w:rsidR="00885F55">
        <w:t xml:space="preserve"> nous conduit </w:t>
      </w:r>
      <w:r>
        <w:t xml:space="preserve">aussi </w:t>
      </w:r>
      <w:r w:rsidR="00885F55">
        <w:t>plus loin, jusqu’à l’action de grâce pour celle qui a su ne pas en rester au regard porté sur l’Enfant mais nourrir en son cœur l’attitude plus essentielle recommandée plus tard par son Fils à chacun de ses disciples : veiller sur sa Parole et la faire grandir en son cœur (cf. Luc 11, 27-28).</w:t>
      </w:r>
    </w:p>
    <w:p w14:paraId="3613106D" w14:textId="64573657" w:rsidR="00F81A28" w:rsidRDefault="007E6460" w:rsidP="009E61D1">
      <w:pPr>
        <w:spacing w:after="120"/>
        <w:ind w:left="714"/>
      </w:pPr>
      <w:r>
        <w:rPr>
          <w:i/>
        </w:rPr>
        <w:t xml:space="preserve">Pour quel rite liturgique ? </w:t>
      </w:r>
      <w:r w:rsidR="00885F55">
        <w:rPr>
          <w:b/>
        </w:rPr>
        <w:t>Action de grâce</w:t>
      </w:r>
    </w:p>
    <w:p w14:paraId="1469FF4A" w14:textId="4FFDAAC3" w:rsidR="00F81A28" w:rsidRDefault="00885F55">
      <w:pPr>
        <w:pBdr>
          <w:top w:val="nil"/>
          <w:left w:val="nil"/>
          <w:bottom w:val="nil"/>
          <w:right w:val="nil"/>
          <w:between w:val="nil"/>
        </w:pBdr>
        <w:spacing w:after="120"/>
        <w:ind w:left="738"/>
      </w:pPr>
      <w:r>
        <w:t>Plutôt que pour la communion (comme l’indique la partition), ce chant conviendrait mieux en actio</w:t>
      </w:r>
      <w:r w:rsidR="00693358">
        <w:t>n de grâce après la communion, unissant ainsi intimement l’intériorisation de la Parole et du Corps du Christ, comme Marie.</w:t>
      </w:r>
    </w:p>
    <w:p w14:paraId="06A6F809" w14:textId="4FBF339E" w:rsidR="00F81A28" w:rsidRPr="00693358" w:rsidRDefault="007E6460" w:rsidP="00693358">
      <w:pPr>
        <w:numPr>
          <w:ilvl w:val="0"/>
          <w:numId w:val="3"/>
        </w:numPr>
        <w:pBdr>
          <w:top w:val="nil"/>
          <w:left w:val="nil"/>
          <w:bottom w:val="nil"/>
          <w:right w:val="nil"/>
          <w:between w:val="nil"/>
        </w:pBdr>
        <w:spacing w:after="120"/>
        <w:ind w:left="425" w:hanging="357"/>
        <w:rPr>
          <w:b/>
          <w:color w:val="000000"/>
        </w:rPr>
      </w:pPr>
      <w:r>
        <w:rPr>
          <w:b/>
          <w:color w:val="000000"/>
        </w:rPr>
        <w:t>Convenance ecclésiale : « </w:t>
      </w:r>
      <w:r>
        <w:t>L’Assemblée, sujet premier de la célébration. »</w:t>
      </w:r>
    </w:p>
    <w:p w14:paraId="4E861862" w14:textId="77777777" w:rsidR="00F81A28" w:rsidRDefault="007E6460">
      <w:pPr>
        <w:numPr>
          <w:ilvl w:val="0"/>
          <w:numId w:val="5"/>
        </w:numPr>
        <w:pBdr>
          <w:top w:val="nil"/>
          <w:left w:val="nil"/>
          <w:bottom w:val="nil"/>
          <w:right w:val="nil"/>
          <w:between w:val="nil"/>
        </w:pBdr>
        <w:spacing w:after="120"/>
        <w:ind w:left="714" w:hanging="357"/>
        <w:rPr>
          <w:i/>
          <w:color w:val="000000"/>
        </w:rPr>
      </w:pPr>
      <w:r>
        <w:rPr>
          <w:i/>
          <w:color w:val="000000"/>
        </w:rPr>
        <w:t>À quelle assemblée peut convenir ce chant ?</w:t>
      </w:r>
    </w:p>
    <w:p w14:paraId="09623A67" w14:textId="10A9A97E" w:rsidR="00F81A28" w:rsidRPr="00085D18" w:rsidRDefault="00CA3227" w:rsidP="00085D18">
      <w:pPr>
        <w:pBdr>
          <w:top w:val="nil"/>
          <w:left w:val="nil"/>
          <w:bottom w:val="nil"/>
          <w:right w:val="nil"/>
          <w:between w:val="nil"/>
        </w:pBdr>
        <w:spacing w:after="120"/>
        <w:ind w:left="720"/>
      </w:pPr>
      <w:r>
        <w:t>Pour tout type d’assemblée, paroissiale et monastique.</w:t>
      </w:r>
      <w:r w:rsidR="007E6460">
        <w:br w:type="page"/>
      </w:r>
    </w:p>
    <w:p w14:paraId="186729E2" w14:textId="77777777" w:rsidR="00F81A28" w:rsidRDefault="00F81A28">
      <w:pPr>
        <w:spacing w:after="120"/>
        <w:rPr>
          <w:b/>
          <w:smallCaps/>
          <w:color w:val="000000"/>
        </w:rPr>
      </w:pPr>
    </w:p>
    <w:p w14:paraId="48BE79E0" w14:textId="77777777" w:rsidR="00F81A28" w:rsidRDefault="007E6460">
      <w:pPr>
        <w:spacing w:after="120"/>
        <w:rPr>
          <w:b/>
          <w:smallCaps/>
          <w:color w:val="000000"/>
          <w:sz w:val="28"/>
          <w:szCs w:val="28"/>
        </w:rPr>
      </w:pPr>
      <w:r>
        <w:rPr>
          <w:b/>
          <w:smallCaps/>
          <w:color w:val="000000"/>
          <w:sz w:val="28"/>
          <w:szCs w:val="28"/>
        </w:rPr>
        <w:t>Texte et musique</w:t>
      </w:r>
    </w:p>
    <w:p w14:paraId="4E5657BF" w14:textId="77777777" w:rsidR="00F81A28" w:rsidRDefault="00F81A28">
      <w:pPr>
        <w:spacing w:after="120"/>
        <w:rPr>
          <w:sz w:val="12"/>
          <w:szCs w:val="12"/>
        </w:rPr>
      </w:pPr>
    </w:p>
    <w:p w14:paraId="61711E44" w14:textId="16C72130" w:rsidR="00F81A28" w:rsidRPr="007A0BF4" w:rsidRDefault="007E6460">
      <w:pPr>
        <w:numPr>
          <w:ilvl w:val="0"/>
          <w:numId w:val="2"/>
        </w:numPr>
        <w:pBdr>
          <w:top w:val="nil"/>
          <w:left w:val="nil"/>
          <w:bottom w:val="nil"/>
          <w:right w:val="nil"/>
          <w:between w:val="nil"/>
        </w:pBdr>
        <w:spacing w:after="120"/>
        <w:ind w:left="714" w:hanging="357"/>
        <w:rPr>
          <w:color w:val="000000"/>
        </w:rPr>
      </w:pPr>
      <w:r>
        <w:rPr>
          <w:b/>
          <w:color w:val="000000"/>
        </w:rPr>
        <w:t>Convenance textuelle et musicale</w:t>
      </w:r>
      <w:r w:rsidR="001B092B">
        <w:rPr>
          <w:b/>
          <w:color w:val="000000"/>
        </w:rPr>
        <w:t xml:space="preserve"> - M</w:t>
      </w:r>
      <w:r w:rsidR="001B092B" w:rsidRPr="007A0BF4">
        <w:rPr>
          <w:b/>
          <w:color w:val="000000"/>
        </w:rPr>
        <w:t>ise en œuvre</w:t>
      </w:r>
    </w:p>
    <w:p w14:paraId="11FB35B4" w14:textId="16F12C71" w:rsidR="007A0BF4" w:rsidRPr="007A0BF4" w:rsidRDefault="007A0BF4" w:rsidP="007A0BF4">
      <w:pPr>
        <w:pStyle w:val="Paragraphedeliste"/>
      </w:pPr>
      <w:r>
        <w:t>La musique de ce chant nous accompagne dans le mouvement spirituel avec une sérénité, une douceur mais aussi une assurance parfaitement en écho avec le texte.</w:t>
      </w:r>
      <w:r>
        <w:br/>
        <w:t>Les couplets destinés à un soliste ou un petit groupe de chanteurs est méditatif, contemplatif : le chant se déploie lentement en partant de la quarte initiale RE/SOL.</w:t>
      </w:r>
      <w:r>
        <w:br/>
        <w:t>Il prépare l’envol du refrain par lequel l’assemblée s’approprie l’attitude de Marie qui nous montre le chemin vers la Parole du Seigneur.</w:t>
      </w:r>
      <w:r>
        <w:br/>
        <w:t>Les couplets sont invitation, le refrain est réponse. C’est le mouvement fondamental de tout chant liturgique.</w:t>
      </w:r>
    </w:p>
    <w:p w14:paraId="4BA2F569" w14:textId="77777777" w:rsidR="00F81A28" w:rsidRDefault="00F81A28">
      <w:pPr>
        <w:ind w:left="720"/>
      </w:pPr>
    </w:p>
    <w:p w14:paraId="45ADADC3" w14:textId="77777777" w:rsidR="00F81A28" w:rsidRDefault="00F81A28">
      <w:pPr>
        <w:ind w:left="720"/>
        <w:rPr>
          <w:i/>
        </w:rPr>
      </w:pPr>
    </w:p>
    <w:p w14:paraId="7CD94C29" w14:textId="39F23E97" w:rsidR="00F81A28" w:rsidRPr="007A0BF4" w:rsidRDefault="007E6460" w:rsidP="007A0BF4">
      <w:pPr>
        <w:numPr>
          <w:ilvl w:val="0"/>
          <w:numId w:val="2"/>
        </w:numPr>
        <w:pBdr>
          <w:top w:val="nil"/>
          <w:left w:val="nil"/>
          <w:bottom w:val="nil"/>
          <w:right w:val="nil"/>
          <w:between w:val="nil"/>
        </w:pBdr>
        <w:spacing w:after="120"/>
        <w:ind w:left="714" w:hanging="357"/>
        <w:rPr>
          <w:color w:val="000000"/>
        </w:rPr>
      </w:pPr>
      <w:r>
        <w:rPr>
          <w:b/>
          <w:color w:val="000000"/>
        </w:rPr>
        <w:t>Convenance vocale et corporelle</w:t>
      </w:r>
    </w:p>
    <w:p w14:paraId="4262FB15" w14:textId="045CB464" w:rsidR="007A0BF4" w:rsidRDefault="007A0BF4" w:rsidP="007A0BF4">
      <w:pPr>
        <w:pStyle w:val="Paragraphedeliste"/>
        <w:spacing w:before="100" w:beforeAutospacing="1" w:after="100" w:afterAutospacing="1"/>
      </w:pPr>
      <w:r>
        <w:t>Ce chant se chante comme on contemplerait un mystère du chapelet, le sourire aux lèvres, le regard léger et lumineux, très intériorisé. En suivant le tempo proposé, on sera bien à l’aise en respirant après chacune des lignes du texte.</w:t>
      </w:r>
    </w:p>
    <w:p w14:paraId="780C7C5F" w14:textId="77777777" w:rsidR="007A0BF4" w:rsidRPr="007A0BF4" w:rsidRDefault="007A0BF4" w:rsidP="007A0BF4">
      <w:pPr>
        <w:pBdr>
          <w:top w:val="nil"/>
          <w:left w:val="nil"/>
          <w:bottom w:val="nil"/>
          <w:right w:val="nil"/>
          <w:between w:val="nil"/>
        </w:pBdr>
        <w:spacing w:after="120"/>
        <w:rPr>
          <w:color w:val="000000"/>
        </w:rPr>
      </w:pPr>
    </w:p>
    <w:p w14:paraId="374BB69C" w14:textId="77777777" w:rsidR="00F81A28" w:rsidRDefault="00F81A28">
      <w:pPr>
        <w:pBdr>
          <w:top w:val="nil"/>
          <w:left w:val="nil"/>
          <w:bottom w:val="nil"/>
          <w:right w:val="nil"/>
          <w:between w:val="nil"/>
        </w:pBdr>
        <w:spacing w:after="120"/>
        <w:ind w:left="720"/>
        <w:rPr>
          <w:b/>
          <w:color w:val="000000"/>
        </w:rPr>
      </w:pPr>
    </w:p>
    <w:p w14:paraId="6EA93FEF" w14:textId="77777777" w:rsidR="00F81A28" w:rsidRDefault="00F81A28"/>
    <w:p w14:paraId="6E0695AE" w14:textId="77777777" w:rsidR="00F81A28" w:rsidRDefault="007E6460">
      <w:pPr>
        <w:jc w:val="center"/>
      </w:pPr>
      <w:r>
        <w:t>*****</w:t>
      </w:r>
    </w:p>
    <w:p w14:paraId="0DA916BF" w14:textId="77777777" w:rsidR="00F81A28" w:rsidRDefault="00F81A28"/>
    <w:p w14:paraId="2ADA4B78" w14:textId="1ADF35AB" w:rsidR="00F81A28" w:rsidRPr="00B53AF3" w:rsidRDefault="007E6460">
      <w:pPr>
        <w:numPr>
          <w:ilvl w:val="0"/>
          <w:numId w:val="1"/>
        </w:numPr>
        <w:ind w:left="426" w:firstLine="0"/>
        <w:rPr>
          <w:color w:val="000000"/>
        </w:rPr>
      </w:pPr>
      <w:r>
        <w:rPr>
          <w:i/>
          <w:color w:val="000000"/>
        </w:rPr>
        <w:t>Sources bibliques</w:t>
      </w:r>
      <w:r>
        <w:rPr>
          <w:color w:val="000000"/>
        </w:rPr>
        <w:t xml:space="preserve"> : </w:t>
      </w:r>
      <w:proofErr w:type="spellStart"/>
      <w:r w:rsidR="00E8278B">
        <w:rPr>
          <w:color w:val="000000"/>
        </w:rPr>
        <w:t>Lc</w:t>
      </w:r>
      <w:proofErr w:type="spellEnd"/>
      <w:r w:rsidR="00E8278B">
        <w:rPr>
          <w:color w:val="000000"/>
        </w:rPr>
        <w:t xml:space="preserve"> 1</w:t>
      </w:r>
      <w:r w:rsidR="001946B2">
        <w:rPr>
          <w:color w:val="000000"/>
        </w:rPr>
        <w:t>, 26-38</w:t>
      </w:r>
      <w:r w:rsidR="00E8278B">
        <w:rPr>
          <w:color w:val="000000"/>
        </w:rPr>
        <w:t> ; 2</w:t>
      </w:r>
      <w:r w:rsidR="001946B2">
        <w:rPr>
          <w:color w:val="000000"/>
        </w:rPr>
        <w:t>, 1-19</w:t>
      </w:r>
      <w:r w:rsidR="00E8278B">
        <w:rPr>
          <w:color w:val="000000"/>
        </w:rPr>
        <w:t> ; 11</w:t>
      </w:r>
      <w:r w:rsidR="001946B2">
        <w:rPr>
          <w:color w:val="000000"/>
        </w:rPr>
        <w:t>, 27-28</w:t>
      </w:r>
      <w:r w:rsidR="00E8278B">
        <w:rPr>
          <w:color w:val="000000"/>
        </w:rPr>
        <w:t>.</w:t>
      </w:r>
    </w:p>
    <w:p w14:paraId="525DC46A" w14:textId="3960F147" w:rsidR="00A31806" w:rsidRPr="00A31806" w:rsidRDefault="007E6460">
      <w:pPr>
        <w:numPr>
          <w:ilvl w:val="0"/>
          <w:numId w:val="1"/>
        </w:numPr>
        <w:ind w:left="426" w:firstLine="0"/>
        <w:rPr>
          <w:color w:val="000000"/>
        </w:rPr>
      </w:pPr>
      <w:r>
        <w:rPr>
          <w:i/>
          <w:color w:val="000000"/>
        </w:rPr>
        <w:t>Texte</w:t>
      </w:r>
      <w:r w:rsidR="00A31806">
        <w:rPr>
          <w:i/>
          <w:color w:val="000000"/>
        </w:rPr>
        <w:t xml:space="preserve"> : </w:t>
      </w:r>
      <w:r w:rsidR="00A31806" w:rsidRPr="00A31806">
        <w:rPr>
          <w:color w:val="000000"/>
        </w:rPr>
        <w:t xml:space="preserve">R.P. Didier </w:t>
      </w:r>
      <w:proofErr w:type="spellStart"/>
      <w:r w:rsidR="00A31806" w:rsidRPr="00A97A2E">
        <w:rPr>
          <w:smallCaps/>
          <w:color w:val="000000"/>
        </w:rPr>
        <w:t>Rimaud</w:t>
      </w:r>
      <w:proofErr w:type="spellEnd"/>
      <w:r w:rsidR="00A31806" w:rsidRPr="00A31806">
        <w:rPr>
          <w:color w:val="000000"/>
        </w:rPr>
        <w:t xml:space="preserve">, </w:t>
      </w:r>
      <w:proofErr w:type="spellStart"/>
      <w:r w:rsidR="00A31806" w:rsidRPr="00A31806">
        <w:rPr>
          <w:color w:val="000000"/>
        </w:rPr>
        <w:t>s.j</w:t>
      </w:r>
      <w:proofErr w:type="spellEnd"/>
      <w:r w:rsidR="00A31806" w:rsidRPr="00A31806">
        <w:rPr>
          <w:color w:val="000000"/>
        </w:rPr>
        <w:t>. (1922-2003)</w:t>
      </w:r>
      <w:r w:rsidR="00A97A2E">
        <w:rPr>
          <w:color w:val="000000"/>
        </w:rPr>
        <w:t xml:space="preserve"> / </w:t>
      </w:r>
      <w:r w:rsidR="00B53AF3">
        <w:rPr>
          <w:color w:val="000000"/>
        </w:rPr>
        <w:t>© CNPL</w:t>
      </w:r>
    </w:p>
    <w:p w14:paraId="138E0946" w14:textId="31423E82" w:rsidR="00F81A28" w:rsidRDefault="00A31806">
      <w:pPr>
        <w:numPr>
          <w:ilvl w:val="0"/>
          <w:numId w:val="1"/>
        </w:numPr>
        <w:ind w:left="426" w:firstLine="0"/>
        <w:rPr>
          <w:color w:val="000000"/>
        </w:rPr>
      </w:pPr>
      <w:r>
        <w:rPr>
          <w:i/>
          <w:color w:val="000000"/>
        </w:rPr>
        <w:t>M</w:t>
      </w:r>
      <w:r w:rsidR="00503DDB">
        <w:rPr>
          <w:i/>
          <w:color w:val="000000"/>
        </w:rPr>
        <w:t>usique</w:t>
      </w:r>
      <w:r w:rsidR="007E6460">
        <w:rPr>
          <w:i/>
          <w:color w:val="000000"/>
        </w:rPr>
        <w:t xml:space="preserve"> : </w:t>
      </w:r>
      <w:r>
        <w:rPr>
          <w:color w:val="000000"/>
        </w:rPr>
        <w:t>Jacques B</w:t>
      </w:r>
      <w:r w:rsidRPr="00A97A2E">
        <w:rPr>
          <w:smallCaps/>
          <w:color w:val="000000"/>
        </w:rPr>
        <w:t>erthier</w:t>
      </w:r>
      <w:r>
        <w:rPr>
          <w:color w:val="000000"/>
        </w:rPr>
        <w:t xml:space="preserve"> (1923-1994)</w:t>
      </w:r>
    </w:p>
    <w:p w14:paraId="4B066B44" w14:textId="3E5DF549" w:rsidR="00F81A28" w:rsidRDefault="007E6460">
      <w:pPr>
        <w:numPr>
          <w:ilvl w:val="0"/>
          <w:numId w:val="1"/>
        </w:numPr>
        <w:ind w:left="426" w:firstLine="0"/>
        <w:rPr>
          <w:color w:val="000000"/>
        </w:rPr>
      </w:pPr>
      <w:r>
        <w:rPr>
          <w:i/>
          <w:color w:val="000000"/>
        </w:rPr>
        <w:t>Éditeur :</w:t>
      </w:r>
      <w:r>
        <w:rPr>
          <w:color w:val="000000"/>
        </w:rPr>
        <w:t xml:space="preserve"> </w:t>
      </w:r>
      <w:r w:rsidR="001B17C6">
        <w:rPr>
          <w:color w:val="000000"/>
        </w:rPr>
        <w:t>Studio SM, 1986.</w:t>
      </w:r>
    </w:p>
    <w:p w14:paraId="504DE951" w14:textId="2EED0ED0" w:rsidR="00F81A28" w:rsidRDefault="007E6460" w:rsidP="00567062">
      <w:pPr>
        <w:numPr>
          <w:ilvl w:val="0"/>
          <w:numId w:val="1"/>
        </w:numPr>
        <w:ind w:left="709" w:hanging="283"/>
        <w:rPr>
          <w:i/>
          <w:color w:val="000000"/>
        </w:rPr>
      </w:pPr>
      <w:r>
        <w:rPr>
          <w:i/>
          <w:color w:val="000000"/>
        </w:rPr>
        <w:t>À écouter</w:t>
      </w:r>
      <w:r w:rsidR="00B53AF3">
        <w:rPr>
          <w:i/>
          <w:color w:val="000000"/>
        </w:rPr>
        <w:t> </w:t>
      </w:r>
      <w:r w:rsidR="00B53AF3">
        <w:rPr>
          <w:color w:val="000000"/>
        </w:rPr>
        <w:t>:</w:t>
      </w:r>
      <w:r w:rsidR="001B17C6">
        <w:rPr>
          <w:i/>
          <w:color w:val="000000"/>
        </w:rPr>
        <w:t xml:space="preserve"> </w:t>
      </w:r>
      <w:hyperlink r:id="rId8" w:history="1">
        <w:r w:rsidR="00CA3227" w:rsidRPr="00CA3227">
          <w:rPr>
            <w:rStyle w:val="Lienhypertexte"/>
            <w:i/>
          </w:rPr>
          <w:t>Comme elle est heureuse et bénie</w:t>
        </w:r>
      </w:hyperlink>
      <w:r w:rsidR="00567062">
        <w:rPr>
          <w:i/>
          <w:color w:val="000000"/>
        </w:rPr>
        <w:t xml:space="preserve"> </w:t>
      </w:r>
      <w:r w:rsidR="00567062" w:rsidRPr="00E8278B">
        <w:rPr>
          <w:color w:val="000000"/>
        </w:rPr>
        <w:t>(</w:t>
      </w:r>
      <w:r w:rsidR="00567062">
        <w:rPr>
          <w:i/>
          <w:color w:val="000000"/>
        </w:rPr>
        <w:t>Jacques Berthier – Anthologie</w:t>
      </w:r>
      <w:r w:rsidR="00567062" w:rsidRPr="00E8278B">
        <w:rPr>
          <w:color w:val="000000"/>
        </w:rPr>
        <w:t>, ADF</w:t>
      </w:r>
      <w:r w:rsidR="00E8278B" w:rsidRPr="00E8278B">
        <w:rPr>
          <w:color w:val="000000"/>
        </w:rPr>
        <w:t>-Bayard Musique, 2014)</w:t>
      </w:r>
    </w:p>
    <w:p w14:paraId="4F8FDA35" w14:textId="358D2CDD" w:rsidR="00A31806" w:rsidRDefault="00A31806" w:rsidP="00567062">
      <w:pPr>
        <w:numPr>
          <w:ilvl w:val="0"/>
          <w:numId w:val="1"/>
        </w:numPr>
        <w:ind w:left="709" w:hanging="283"/>
        <w:rPr>
          <w:i/>
          <w:color w:val="000000"/>
        </w:rPr>
      </w:pPr>
      <w:r>
        <w:rPr>
          <w:i/>
          <w:color w:val="000000"/>
        </w:rPr>
        <w:t xml:space="preserve">Partition : </w:t>
      </w:r>
      <w:hyperlink r:id="rId9" w:history="1">
        <w:r w:rsidRPr="00A31806">
          <w:rPr>
            <w:rStyle w:val="Lienhypertexte"/>
            <w:i/>
          </w:rPr>
          <w:t>SECLI</w:t>
        </w:r>
      </w:hyperlink>
    </w:p>
    <w:p w14:paraId="57FCAB8E" w14:textId="77777777" w:rsidR="00F81A28" w:rsidRDefault="00F81A28" w:rsidP="00567062">
      <w:pPr>
        <w:ind w:left="709" w:hanging="283"/>
        <w:rPr>
          <w:color w:val="000000"/>
        </w:rPr>
      </w:pPr>
    </w:p>
    <w:p w14:paraId="134E4C57" w14:textId="37D302AB" w:rsidR="00F81A28" w:rsidRDefault="00821C68">
      <w:pPr>
        <w:rPr>
          <w:color w:val="000000"/>
        </w:rPr>
      </w:pPr>
      <w:r>
        <w:rPr>
          <w:color w:val="000000"/>
        </w:rPr>
        <w:tab/>
      </w:r>
      <w:r w:rsidR="007E6460">
        <w:rPr>
          <w:color w:val="000000"/>
        </w:rPr>
        <w:t>QR code du SECLI :</w:t>
      </w:r>
    </w:p>
    <w:p w14:paraId="3DD372B5" w14:textId="47446CC0" w:rsidR="00F81A28" w:rsidRDefault="00A31806">
      <w:pPr>
        <w:ind w:left="720"/>
        <w:jc w:val="center"/>
        <w:rPr>
          <w:color w:val="000000"/>
        </w:rPr>
      </w:pPr>
      <w:r>
        <w:rPr>
          <w:noProof/>
          <w:color w:val="000000"/>
        </w:rPr>
        <w:drawing>
          <wp:inline distT="0" distB="0" distL="0" distR="0" wp14:anchorId="2388B191" wp14:editId="31BE93A2">
            <wp:extent cx="1914525" cy="1914525"/>
            <wp:effectExtent l="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4525" cy="1914525"/>
                    </a:xfrm>
                    <a:prstGeom prst="rect">
                      <a:avLst/>
                    </a:prstGeom>
                    <a:noFill/>
                    <a:ln>
                      <a:noFill/>
                    </a:ln>
                  </pic:spPr>
                </pic:pic>
              </a:graphicData>
            </a:graphic>
          </wp:inline>
        </w:drawing>
      </w:r>
    </w:p>
    <w:p w14:paraId="670DBA7D" w14:textId="77777777" w:rsidR="00567062" w:rsidRPr="00567062" w:rsidRDefault="00567062">
      <w:pPr>
        <w:ind w:left="720"/>
        <w:jc w:val="center"/>
        <w:rPr>
          <w:color w:val="000000"/>
          <w:sz w:val="32"/>
        </w:rPr>
      </w:pPr>
    </w:p>
    <w:p w14:paraId="76B25AD5" w14:textId="77777777" w:rsidR="00567062" w:rsidRPr="00567062" w:rsidRDefault="00567062">
      <w:pPr>
        <w:ind w:left="720"/>
        <w:jc w:val="center"/>
        <w:rPr>
          <w:color w:val="000000"/>
          <w:sz w:val="32"/>
        </w:rPr>
      </w:pPr>
    </w:p>
    <w:p w14:paraId="3D1E0EE4" w14:textId="77777777" w:rsidR="00567062" w:rsidRPr="00567062" w:rsidRDefault="00567062" w:rsidP="00567062">
      <w:pPr>
        <w:pStyle w:val="Paragraphedeliste"/>
        <w:numPr>
          <w:ilvl w:val="0"/>
          <w:numId w:val="8"/>
        </w:numPr>
        <w:ind w:left="709"/>
        <w:rPr>
          <w:rFonts w:asciiTheme="minorHAnsi" w:hAnsiTheme="minorHAnsi" w:cs="Calibri"/>
          <w:i/>
          <w:szCs w:val="20"/>
        </w:rPr>
      </w:pPr>
      <w:r w:rsidRPr="00567062">
        <w:rPr>
          <w:rFonts w:asciiTheme="minorHAnsi" w:hAnsiTheme="minorHAnsi" w:cs="Calibri"/>
          <w:i/>
          <w:szCs w:val="20"/>
        </w:rPr>
        <w:t>Autre version : </w:t>
      </w:r>
    </w:p>
    <w:p w14:paraId="14B834AA" w14:textId="587AB659" w:rsidR="00567062" w:rsidRPr="00567062" w:rsidRDefault="00567062" w:rsidP="00567062">
      <w:pPr>
        <w:pStyle w:val="Paragraphedeliste"/>
        <w:numPr>
          <w:ilvl w:val="0"/>
          <w:numId w:val="7"/>
        </w:numPr>
        <w:rPr>
          <w:rFonts w:asciiTheme="minorHAnsi" w:hAnsiTheme="minorHAnsi" w:cs="Calibri"/>
          <w:szCs w:val="20"/>
        </w:rPr>
      </w:pPr>
      <w:r w:rsidRPr="00567062">
        <w:rPr>
          <w:rFonts w:asciiTheme="minorHAnsi" w:hAnsiTheme="minorHAnsi" w:cs="Calibri"/>
          <w:szCs w:val="20"/>
        </w:rPr>
        <w:t>V 45-31-2</w:t>
      </w:r>
      <w:r w:rsidRPr="00567062">
        <w:rPr>
          <w:rFonts w:asciiTheme="minorHAnsi" w:hAnsiTheme="minorHAnsi" w:cs="Calibri"/>
          <w:szCs w:val="20"/>
        </w:rPr>
        <w:tab/>
        <w:t xml:space="preserve">compositeur : Ernest Bohn / éditeur : </w:t>
      </w:r>
      <w:proofErr w:type="spellStart"/>
      <w:r w:rsidRPr="00567062">
        <w:rPr>
          <w:rFonts w:asciiTheme="minorHAnsi" w:hAnsiTheme="minorHAnsi" w:cs="Calibri"/>
          <w:szCs w:val="20"/>
        </w:rPr>
        <w:t>Caecilia</w:t>
      </w:r>
      <w:proofErr w:type="spellEnd"/>
      <w:r w:rsidRPr="00567062">
        <w:rPr>
          <w:rFonts w:asciiTheme="minorHAnsi" w:hAnsiTheme="minorHAnsi" w:cs="Calibri"/>
          <w:szCs w:val="20"/>
        </w:rPr>
        <w:t>, 2003.</w:t>
      </w:r>
    </w:p>
    <w:sectPr w:rsidR="00567062" w:rsidRPr="00567062">
      <w:headerReference w:type="default" r:id="rId11"/>
      <w:pgSz w:w="11900" w:h="16840"/>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D5E56A" w14:textId="77777777" w:rsidR="00821C68" w:rsidRDefault="00821C68">
      <w:r>
        <w:separator/>
      </w:r>
    </w:p>
  </w:endnote>
  <w:endnote w:type="continuationSeparator" w:id="0">
    <w:p w14:paraId="56328680" w14:textId="77777777" w:rsidR="00821C68" w:rsidRDefault="00821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9AA57D" w14:textId="77777777" w:rsidR="00821C68" w:rsidRDefault="00821C68">
      <w:r>
        <w:separator/>
      </w:r>
    </w:p>
  </w:footnote>
  <w:footnote w:type="continuationSeparator" w:id="0">
    <w:p w14:paraId="3662A5FB" w14:textId="77777777" w:rsidR="00821C68" w:rsidRDefault="00821C68">
      <w:r>
        <w:continuationSeparator/>
      </w:r>
    </w:p>
  </w:footnote>
  <w:footnote w:id="1">
    <w:p w14:paraId="0B150816" w14:textId="77777777" w:rsidR="00821C68" w:rsidRDefault="00821C68" w:rsidP="00CA3227">
      <w:pPr>
        <w:pBdr>
          <w:top w:val="nil"/>
          <w:left w:val="nil"/>
          <w:bottom w:val="nil"/>
          <w:right w:val="nil"/>
          <w:between w:val="nil"/>
        </w:pBdr>
        <w:jc w:val="both"/>
        <w:rPr>
          <w:i/>
          <w:color w:val="000000"/>
          <w:sz w:val="18"/>
          <w:szCs w:val="18"/>
        </w:rPr>
      </w:pPr>
      <w:r>
        <w:rPr>
          <w:vertAlign w:val="superscript"/>
        </w:rPr>
        <w:footnoteRef/>
      </w:r>
      <w:r>
        <w:rPr>
          <w:color w:val="000000"/>
          <w:sz w:val="18"/>
          <w:szCs w:val="18"/>
        </w:rPr>
        <w:t xml:space="preserve"> R.P. Joseph G</w:t>
      </w:r>
      <w:r>
        <w:rPr>
          <w:smallCaps/>
          <w:color w:val="000000"/>
          <w:sz w:val="18"/>
          <w:szCs w:val="18"/>
        </w:rPr>
        <w:t>elineau</w:t>
      </w:r>
      <w:r>
        <w:rPr>
          <w:color w:val="000000"/>
          <w:sz w:val="18"/>
          <w:szCs w:val="18"/>
        </w:rPr>
        <w:t xml:space="preserve">, </w:t>
      </w:r>
      <w:proofErr w:type="spellStart"/>
      <w:r>
        <w:rPr>
          <w:color w:val="000000"/>
          <w:sz w:val="18"/>
          <w:szCs w:val="18"/>
        </w:rPr>
        <w:t>s.j</w:t>
      </w:r>
      <w:proofErr w:type="spellEnd"/>
      <w:r>
        <w:rPr>
          <w:color w:val="000000"/>
          <w:sz w:val="18"/>
          <w:szCs w:val="18"/>
        </w:rPr>
        <w:t xml:space="preserve">., </w:t>
      </w:r>
      <w:r>
        <w:rPr>
          <w:i/>
          <w:color w:val="000000"/>
          <w:sz w:val="18"/>
          <w:szCs w:val="18"/>
        </w:rPr>
        <w:t>Les chants de la messe dans leur enracinement rituel</w:t>
      </w:r>
      <w:r>
        <w:rPr>
          <w:color w:val="000000"/>
          <w:sz w:val="18"/>
          <w:szCs w:val="18"/>
        </w:rPr>
        <w:t>, Paris, Éditions du Cerf, 2001, p.</w:t>
      </w:r>
      <w:r>
        <w:rPr>
          <w:color w:val="000000"/>
          <w:sz w:val="18"/>
          <w:szCs w:val="18"/>
          <w:lang w:val="el-GR"/>
        </w:rPr>
        <w:t> </w:t>
      </w:r>
      <w:r>
        <w:rPr>
          <w:color w:val="000000"/>
          <w:sz w:val="18"/>
          <w:szCs w:val="18"/>
        </w:rPr>
        <w:t>12.</w:t>
      </w:r>
    </w:p>
  </w:footnote>
  <w:footnote w:id="2">
    <w:p w14:paraId="57359ED3" w14:textId="77777777" w:rsidR="00821C68" w:rsidRDefault="00821C68" w:rsidP="009E61D1">
      <w:pPr>
        <w:jc w:val="both"/>
        <w:rPr>
          <w:sz w:val="18"/>
          <w:szCs w:val="18"/>
        </w:rPr>
      </w:pPr>
      <w:r>
        <w:rPr>
          <w:vertAlign w:val="superscript"/>
        </w:rPr>
        <w:footnoteRef/>
      </w:r>
      <w:r>
        <w:rPr>
          <w:sz w:val="18"/>
          <w:szCs w:val="18"/>
        </w:rPr>
        <w:t xml:space="preserve"> C</w:t>
      </w:r>
      <w:r>
        <w:rPr>
          <w:smallCaps/>
          <w:sz w:val="18"/>
          <w:szCs w:val="18"/>
        </w:rPr>
        <w:t xml:space="preserve">ongrégation pour le culte divin et la discipline des sacrements, </w:t>
      </w:r>
      <w:hyperlink r:id="rId1">
        <w:r>
          <w:rPr>
            <w:i/>
            <w:color w:val="1155CC"/>
            <w:sz w:val="18"/>
            <w:szCs w:val="18"/>
            <w:u w:val="single"/>
          </w:rPr>
          <w:t>Directoire sur la piété populaire et la liturgie. Principes et orientations</w:t>
        </w:r>
      </w:hyperlink>
      <w:r>
        <w:rPr>
          <w:sz w:val="18"/>
          <w:szCs w:val="18"/>
        </w:rPr>
        <w:t>, « La Vierge Marie dans le temps de l’Avent</w:t>
      </w:r>
      <w:r>
        <w:rPr>
          <w:sz w:val="18"/>
          <w:szCs w:val="18"/>
          <w:highlight w:val="white"/>
        </w:rPr>
        <w:t> </w:t>
      </w:r>
      <w:r>
        <w:rPr>
          <w:sz w:val="18"/>
          <w:szCs w:val="18"/>
        </w:rPr>
        <w:t>», n</w:t>
      </w:r>
      <w:r>
        <w:rPr>
          <w:sz w:val="18"/>
          <w:szCs w:val="18"/>
          <w:vertAlign w:val="superscript"/>
        </w:rPr>
        <w:t>os</w:t>
      </w:r>
      <w:r>
        <w:rPr>
          <w:sz w:val="18"/>
          <w:szCs w:val="18"/>
        </w:rPr>
        <w:t> 101-102 : « </w:t>
      </w:r>
      <w:r>
        <w:rPr>
          <w:sz w:val="18"/>
          <w:szCs w:val="18"/>
          <w:highlight w:val="white"/>
        </w:rPr>
        <w:t>Durant le temps de l’Avent, la Liturgie célèbre fréquemment et d’une manière particulière la bienheureuse Vierge Marie (...). Il reste que la valorisation de l’Avent, qui est "un moment particulièrement adapté au culte de la Mère du Seigneur" ne signifie pas pour autant que ce temps liturgique doive être présenté comme un "mois de Marie". </w:t>
      </w:r>
      <w:r>
        <w:rPr>
          <w:sz w:val="18"/>
          <w:szCs w:val="18"/>
        </w:rPr>
        <w:t>» (</w:t>
      </w:r>
      <w:proofErr w:type="gramStart"/>
      <w:r>
        <w:rPr>
          <w:sz w:val="18"/>
          <w:szCs w:val="18"/>
        </w:rPr>
        <w:t>n</w:t>
      </w:r>
      <w:proofErr w:type="gramEnd"/>
      <w:r>
        <w:rPr>
          <w:sz w:val="18"/>
          <w:szCs w:val="18"/>
        </w:rPr>
        <w:t>° 101)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23B9B" w14:textId="77777777" w:rsidR="00821C68" w:rsidRDefault="00821C68">
    <w:pPr>
      <w:rPr>
        <w:i/>
      </w:rPr>
    </w:pPr>
    <w:r>
      <w:rPr>
        <w:i/>
      </w:rPr>
      <w:t>Discerner pour mieux choisir...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F093E"/>
    <w:multiLevelType w:val="multilevel"/>
    <w:tmpl w:val="9AD42A56"/>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 w15:restartNumberingAfterBreak="0">
    <w:nsid w:val="24CB4774"/>
    <w:multiLevelType w:val="multilevel"/>
    <w:tmpl w:val="FFD08372"/>
    <w:lvl w:ilvl="0">
      <w:start w:val="1"/>
      <w:numFmt w:val="bullet"/>
      <w:lvlText w:val="⮚"/>
      <w:lvlJc w:val="left"/>
      <w:pPr>
        <w:ind w:left="738" w:hanging="360"/>
      </w:pPr>
      <w:rPr>
        <w:rFonts w:ascii="Noto Sans" w:eastAsia="Noto Sans" w:hAnsi="Noto Sans" w:cs="Noto Sans"/>
        <w:u w:val="none"/>
      </w:rPr>
    </w:lvl>
    <w:lvl w:ilvl="1">
      <w:start w:val="1"/>
      <w:numFmt w:val="lowerLetter"/>
      <w:lvlText w:val="%2."/>
      <w:lvlJc w:val="left"/>
      <w:pPr>
        <w:ind w:left="1458" w:hanging="360"/>
      </w:pPr>
      <w:rPr>
        <w:u w:val="none"/>
      </w:rPr>
    </w:lvl>
    <w:lvl w:ilvl="2">
      <w:start w:val="1"/>
      <w:numFmt w:val="lowerRoman"/>
      <w:lvlText w:val="%3."/>
      <w:lvlJc w:val="right"/>
      <w:pPr>
        <w:ind w:left="2178" w:hanging="360"/>
      </w:pPr>
      <w:rPr>
        <w:u w:val="none"/>
      </w:rPr>
    </w:lvl>
    <w:lvl w:ilvl="3">
      <w:start w:val="1"/>
      <w:numFmt w:val="decimal"/>
      <w:lvlText w:val="%4."/>
      <w:lvlJc w:val="left"/>
      <w:pPr>
        <w:ind w:left="2898" w:hanging="360"/>
      </w:pPr>
      <w:rPr>
        <w:u w:val="none"/>
      </w:rPr>
    </w:lvl>
    <w:lvl w:ilvl="4">
      <w:start w:val="1"/>
      <w:numFmt w:val="lowerLetter"/>
      <w:lvlText w:val="%5."/>
      <w:lvlJc w:val="left"/>
      <w:pPr>
        <w:ind w:left="3618" w:hanging="360"/>
      </w:pPr>
      <w:rPr>
        <w:u w:val="none"/>
      </w:rPr>
    </w:lvl>
    <w:lvl w:ilvl="5">
      <w:start w:val="1"/>
      <w:numFmt w:val="lowerRoman"/>
      <w:lvlText w:val="%6."/>
      <w:lvlJc w:val="right"/>
      <w:pPr>
        <w:ind w:left="4338" w:hanging="360"/>
      </w:pPr>
      <w:rPr>
        <w:u w:val="none"/>
      </w:rPr>
    </w:lvl>
    <w:lvl w:ilvl="6">
      <w:start w:val="1"/>
      <w:numFmt w:val="decimal"/>
      <w:lvlText w:val="%7."/>
      <w:lvlJc w:val="left"/>
      <w:pPr>
        <w:ind w:left="5058" w:hanging="360"/>
      </w:pPr>
      <w:rPr>
        <w:u w:val="none"/>
      </w:rPr>
    </w:lvl>
    <w:lvl w:ilvl="7">
      <w:start w:val="1"/>
      <w:numFmt w:val="lowerLetter"/>
      <w:lvlText w:val="%8."/>
      <w:lvlJc w:val="left"/>
      <w:pPr>
        <w:ind w:left="5778" w:hanging="360"/>
      </w:pPr>
      <w:rPr>
        <w:u w:val="none"/>
      </w:rPr>
    </w:lvl>
    <w:lvl w:ilvl="8">
      <w:start w:val="1"/>
      <w:numFmt w:val="lowerRoman"/>
      <w:lvlText w:val="%9."/>
      <w:lvlJc w:val="right"/>
      <w:pPr>
        <w:ind w:left="6498" w:hanging="360"/>
      </w:pPr>
      <w:rPr>
        <w:u w:val="none"/>
      </w:rPr>
    </w:lvl>
  </w:abstractNum>
  <w:abstractNum w:abstractNumId="2" w15:restartNumberingAfterBreak="0">
    <w:nsid w:val="27E66278"/>
    <w:multiLevelType w:val="multilevel"/>
    <w:tmpl w:val="AD76FBD6"/>
    <w:lvl w:ilvl="0">
      <w:start w:val="1"/>
      <w:numFmt w:val="bullet"/>
      <w:lvlText w:val="●"/>
      <w:lvlJc w:val="left"/>
      <w:pPr>
        <w:ind w:left="928" w:hanging="360"/>
      </w:pPr>
      <w:rPr>
        <w:rFonts w:ascii="Noto Sans" w:eastAsia="Noto Sans" w:hAnsi="Noto Sans" w:cs="Noto San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335326DA"/>
    <w:multiLevelType w:val="hybridMultilevel"/>
    <w:tmpl w:val="40C41E9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37B848FB"/>
    <w:multiLevelType w:val="multilevel"/>
    <w:tmpl w:val="AD76FBD6"/>
    <w:lvl w:ilvl="0">
      <w:start w:val="1"/>
      <w:numFmt w:val="bullet"/>
      <w:lvlText w:val="●"/>
      <w:lvlJc w:val="left"/>
      <w:pPr>
        <w:ind w:left="720" w:hanging="360"/>
      </w:pPr>
      <w:rPr>
        <w:rFonts w:ascii="Noto Sans" w:eastAsia="Noto Sans" w:hAnsi="Noto Sans" w:cs="Noto San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15:restartNumberingAfterBreak="0">
    <w:nsid w:val="3A7602C7"/>
    <w:multiLevelType w:val="multilevel"/>
    <w:tmpl w:val="9802253C"/>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6" w15:restartNumberingAfterBreak="0">
    <w:nsid w:val="5FFA35BF"/>
    <w:multiLevelType w:val="hybridMultilevel"/>
    <w:tmpl w:val="1866846A"/>
    <w:lvl w:ilvl="0" w:tplc="040C0003">
      <w:start w:val="1"/>
      <w:numFmt w:val="bullet"/>
      <w:lvlText w:val="o"/>
      <w:lvlJc w:val="left"/>
      <w:pPr>
        <w:ind w:left="1440" w:hanging="360"/>
      </w:pPr>
      <w:rPr>
        <w:rFonts w:ascii="Courier New" w:hAnsi="Courier New"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626B7A63"/>
    <w:multiLevelType w:val="multilevel"/>
    <w:tmpl w:val="E856BEEC"/>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8" w15:restartNumberingAfterBreak="0">
    <w:nsid w:val="65BF17AD"/>
    <w:multiLevelType w:val="multilevel"/>
    <w:tmpl w:val="DF28A2AC"/>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num w:numId="1">
    <w:abstractNumId w:val="2"/>
  </w:num>
  <w:num w:numId="2">
    <w:abstractNumId w:val="7"/>
  </w:num>
  <w:num w:numId="3">
    <w:abstractNumId w:val="0"/>
  </w:num>
  <w:num w:numId="4">
    <w:abstractNumId w:val="5"/>
  </w:num>
  <w:num w:numId="5">
    <w:abstractNumId w:val="8"/>
  </w:num>
  <w:num w:numId="6">
    <w:abstractNumId w:val="1"/>
  </w:num>
  <w:num w:numId="7">
    <w:abstractNumId w:val="6"/>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A28"/>
    <w:rsid w:val="00085D18"/>
    <w:rsid w:val="001946B2"/>
    <w:rsid w:val="001B092B"/>
    <w:rsid w:val="001B17C6"/>
    <w:rsid w:val="00385609"/>
    <w:rsid w:val="00503DDB"/>
    <w:rsid w:val="00567062"/>
    <w:rsid w:val="00693358"/>
    <w:rsid w:val="007A0BF4"/>
    <w:rsid w:val="007E6460"/>
    <w:rsid w:val="00821C68"/>
    <w:rsid w:val="00885F55"/>
    <w:rsid w:val="009126A5"/>
    <w:rsid w:val="009E61D1"/>
    <w:rsid w:val="00A31806"/>
    <w:rsid w:val="00A97A2E"/>
    <w:rsid w:val="00B04F1E"/>
    <w:rsid w:val="00B53AF3"/>
    <w:rsid w:val="00B900E6"/>
    <w:rsid w:val="00CA3227"/>
    <w:rsid w:val="00E8278B"/>
    <w:rsid w:val="00EF5107"/>
    <w:rsid w:val="00F81A2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BAF6BE"/>
  <w15:docId w15:val="{C7B8110B-3020-427D-9DB9-EA3C42119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4363"/>
  </w:style>
  <w:style w:type="paragraph" w:styleId="Titre1">
    <w:name w:val="heading 1"/>
    <w:basedOn w:val="Normal1"/>
    <w:next w:val="Normal1"/>
    <w:uiPriority w:val="9"/>
    <w:qFormat/>
    <w:rsid w:val="00F54363"/>
    <w:pPr>
      <w:keepNext/>
      <w:keepLines/>
      <w:spacing w:before="480" w:after="120"/>
      <w:outlineLvl w:val="0"/>
    </w:pPr>
    <w:rPr>
      <w:b/>
      <w:sz w:val="48"/>
      <w:szCs w:val="48"/>
    </w:rPr>
  </w:style>
  <w:style w:type="paragraph" w:styleId="Titre2">
    <w:name w:val="heading 2"/>
    <w:basedOn w:val="Normal1"/>
    <w:next w:val="Normal1"/>
    <w:uiPriority w:val="9"/>
    <w:semiHidden/>
    <w:unhideWhenUsed/>
    <w:qFormat/>
    <w:rsid w:val="00F54363"/>
    <w:pPr>
      <w:keepNext/>
      <w:keepLines/>
      <w:spacing w:before="360" w:after="80"/>
      <w:outlineLvl w:val="1"/>
    </w:pPr>
    <w:rPr>
      <w:b/>
      <w:sz w:val="36"/>
      <w:szCs w:val="36"/>
    </w:rPr>
  </w:style>
  <w:style w:type="paragraph" w:styleId="Titre3">
    <w:name w:val="heading 3"/>
    <w:basedOn w:val="Normal1"/>
    <w:next w:val="Normal1"/>
    <w:uiPriority w:val="9"/>
    <w:semiHidden/>
    <w:unhideWhenUsed/>
    <w:qFormat/>
    <w:rsid w:val="00F54363"/>
    <w:pPr>
      <w:keepNext/>
      <w:keepLines/>
      <w:spacing w:before="280" w:after="80"/>
      <w:outlineLvl w:val="2"/>
    </w:pPr>
    <w:rPr>
      <w:b/>
      <w:sz w:val="28"/>
      <w:szCs w:val="28"/>
    </w:rPr>
  </w:style>
  <w:style w:type="paragraph" w:styleId="Titre4">
    <w:name w:val="heading 4"/>
    <w:basedOn w:val="Normal1"/>
    <w:next w:val="Normal1"/>
    <w:uiPriority w:val="9"/>
    <w:semiHidden/>
    <w:unhideWhenUsed/>
    <w:qFormat/>
    <w:rsid w:val="00F54363"/>
    <w:pPr>
      <w:keepNext/>
      <w:keepLines/>
      <w:spacing w:before="240" w:after="40"/>
      <w:outlineLvl w:val="3"/>
    </w:pPr>
    <w:rPr>
      <w:b/>
    </w:rPr>
  </w:style>
  <w:style w:type="paragraph" w:styleId="Titre5">
    <w:name w:val="heading 5"/>
    <w:basedOn w:val="Normal1"/>
    <w:next w:val="Normal1"/>
    <w:uiPriority w:val="9"/>
    <w:semiHidden/>
    <w:unhideWhenUsed/>
    <w:qFormat/>
    <w:rsid w:val="00F54363"/>
    <w:pPr>
      <w:keepNext/>
      <w:keepLines/>
      <w:spacing w:before="220" w:after="40"/>
      <w:outlineLvl w:val="4"/>
    </w:pPr>
    <w:rPr>
      <w:b/>
      <w:sz w:val="22"/>
      <w:szCs w:val="22"/>
    </w:rPr>
  </w:style>
  <w:style w:type="paragraph" w:styleId="Titre6">
    <w:name w:val="heading 6"/>
    <w:basedOn w:val="Normal1"/>
    <w:next w:val="Normal1"/>
    <w:uiPriority w:val="9"/>
    <w:semiHidden/>
    <w:unhideWhenUsed/>
    <w:qFormat/>
    <w:rsid w:val="00F54363"/>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0">
    <w:name w:val="Normal1"/>
  </w:style>
  <w:style w:type="table" w:customStyle="1" w:styleId="TableNormal">
    <w:name w:val="Table Normal"/>
    <w:tblPr>
      <w:tblCellMar>
        <w:top w:w="0" w:type="dxa"/>
        <w:left w:w="0" w:type="dxa"/>
        <w:bottom w:w="0" w:type="dxa"/>
        <w:right w:w="0" w:type="dxa"/>
      </w:tblCellMar>
    </w:tblPr>
  </w:style>
  <w:style w:type="paragraph" w:styleId="Titre">
    <w:name w:val="Title"/>
    <w:basedOn w:val="Normal1"/>
    <w:next w:val="Normal1"/>
    <w:uiPriority w:val="10"/>
    <w:qFormat/>
    <w:rsid w:val="00F54363"/>
    <w:pPr>
      <w:keepNext/>
      <w:keepLines/>
      <w:spacing w:before="480" w:after="120"/>
    </w:pPr>
    <w:rPr>
      <w:b/>
      <w:sz w:val="72"/>
      <w:szCs w:val="72"/>
    </w:rPr>
  </w:style>
  <w:style w:type="paragraph" w:customStyle="1" w:styleId="Normal2">
    <w:name w:val="Normal2"/>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customStyle="1" w:styleId="Normal1">
    <w:name w:val="Normal1"/>
    <w:rsid w:val="00F54363"/>
  </w:style>
  <w:style w:type="table" w:customStyle="1" w:styleId="TableNormal2">
    <w:name w:val="Table Normal"/>
    <w:rsid w:val="00F54363"/>
    <w:tblPr>
      <w:tblCellMar>
        <w:top w:w="0" w:type="dxa"/>
        <w:left w:w="0" w:type="dxa"/>
        <w:bottom w:w="0" w:type="dxa"/>
        <w:right w:w="0" w:type="dxa"/>
      </w:tblCellMar>
    </w:tbl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paragraph" w:styleId="Textedebulles">
    <w:name w:val="Balloon Text"/>
    <w:basedOn w:val="Normal"/>
    <w:link w:val="TextedebullesCar"/>
    <w:uiPriority w:val="99"/>
    <w:semiHidden/>
    <w:unhideWhenUsed/>
    <w:rsid w:val="00752A66"/>
    <w:rPr>
      <w:rFonts w:ascii="Tahoma" w:hAnsi="Tahoma" w:cs="Tahoma"/>
      <w:sz w:val="16"/>
      <w:szCs w:val="16"/>
    </w:rPr>
  </w:style>
  <w:style w:type="character" w:customStyle="1" w:styleId="TextedebullesCar">
    <w:name w:val="Texte de bulles Car"/>
    <w:basedOn w:val="Policepardfaut"/>
    <w:link w:val="Textedebulles"/>
    <w:uiPriority w:val="99"/>
    <w:semiHidden/>
    <w:rsid w:val="00752A66"/>
    <w:rPr>
      <w:rFonts w:ascii="Tahoma" w:hAnsi="Tahoma" w:cs="Tahoma"/>
      <w:sz w:val="16"/>
      <w:szCs w:val="16"/>
    </w:rPr>
  </w:style>
  <w:style w:type="paragraph" w:styleId="Paragraphedeliste">
    <w:name w:val="List Paragraph"/>
    <w:basedOn w:val="Normal"/>
    <w:uiPriority w:val="34"/>
    <w:qFormat/>
    <w:rsid w:val="00752A66"/>
    <w:pPr>
      <w:ind w:left="720"/>
      <w:contextualSpacing/>
    </w:pPr>
  </w:style>
  <w:style w:type="paragraph" w:styleId="NormalWeb">
    <w:name w:val="Normal (Web)"/>
    <w:basedOn w:val="Normal"/>
    <w:uiPriority w:val="99"/>
    <w:unhideWhenUsed/>
    <w:rsid w:val="00EF7D67"/>
    <w:pPr>
      <w:spacing w:before="100" w:beforeAutospacing="1" w:after="100" w:afterAutospacing="1"/>
    </w:pPr>
    <w:rPr>
      <w:rFonts w:ascii="Times New Roman" w:eastAsia="Times New Roman" w:hAnsi="Times New Roman" w:cs="Times New Roman"/>
    </w:rPr>
  </w:style>
  <w:style w:type="character" w:styleId="Marquedecommentaire">
    <w:name w:val="annotation reference"/>
    <w:basedOn w:val="Policepardfaut"/>
    <w:uiPriority w:val="99"/>
    <w:semiHidden/>
    <w:unhideWhenUsed/>
    <w:rsid w:val="00DB494B"/>
    <w:rPr>
      <w:sz w:val="16"/>
      <w:szCs w:val="16"/>
    </w:rPr>
  </w:style>
  <w:style w:type="paragraph" w:styleId="Commentaire">
    <w:name w:val="annotation text"/>
    <w:basedOn w:val="Normal"/>
    <w:link w:val="CommentaireCar"/>
    <w:uiPriority w:val="99"/>
    <w:semiHidden/>
    <w:unhideWhenUsed/>
    <w:rsid w:val="00DB494B"/>
    <w:rPr>
      <w:sz w:val="20"/>
      <w:szCs w:val="20"/>
    </w:rPr>
  </w:style>
  <w:style w:type="character" w:customStyle="1" w:styleId="CommentaireCar">
    <w:name w:val="Commentaire Car"/>
    <w:basedOn w:val="Policepardfaut"/>
    <w:link w:val="Commentaire"/>
    <w:uiPriority w:val="99"/>
    <w:semiHidden/>
    <w:rsid w:val="00DB494B"/>
    <w:rPr>
      <w:sz w:val="20"/>
      <w:szCs w:val="20"/>
    </w:rPr>
  </w:style>
  <w:style w:type="paragraph" w:styleId="Objetducommentaire">
    <w:name w:val="annotation subject"/>
    <w:basedOn w:val="Commentaire"/>
    <w:next w:val="Commentaire"/>
    <w:link w:val="ObjetducommentaireCar"/>
    <w:uiPriority w:val="99"/>
    <w:semiHidden/>
    <w:unhideWhenUsed/>
    <w:rsid w:val="00DB494B"/>
    <w:rPr>
      <w:b/>
      <w:bCs/>
    </w:rPr>
  </w:style>
  <w:style w:type="character" w:customStyle="1" w:styleId="ObjetducommentaireCar">
    <w:name w:val="Objet du commentaire Car"/>
    <w:basedOn w:val="CommentaireCar"/>
    <w:link w:val="Objetducommentaire"/>
    <w:uiPriority w:val="99"/>
    <w:semiHidden/>
    <w:rsid w:val="00DB494B"/>
    <w:rPr>
      <w:b/>
      <w:bCs/>
      <w:sz w:val="20"/>
      <w:szCs w:val="20"/>
    </w:rPr>
  </w:style>
  <w:style w:type="character" w:styleId="Lienhypertexte">
    <w:name w:val="Hyperlink"/>
    <w:basedOn w:val="Policepardfaut"/>
    <w:uiPriority w:val="99"/>
    <w:unhideWhenUsed/>
    <w:rsid w:val="00871C84"/>
    <w:rPr>
      <w:color w:val="0000FF" w:themeColor="hyperlink"/>
      <w:u w:val="single"/>
    </w:rPr>
  </w:style>
  <w:style w:type="character" w:styleId="Lienhypertextesuivivisit">
    <w:name w:val="FollowedHyperlink"/>
    <w:basedOn w:val="Policepardfaut"/>
    <w:uiPriority w:val="99"/>
    <w:semiHidden/>
    <w:unhideWhenUsed/>
    <w:rsid w:val="00871C84"/>
    <w:rPr>
      <w:color w:val="800080" w:themeColor="followedHyperlink"/>
      <w:u w:val="single"/>
    </w:rPr>
  </w:style>
  <w:style w:type="character" w:customStyle="1" w:styleId="apple-tab-span">
    <w:name w:val="apple-tab-span"/>
    <w:basedOn w:val="Policepardfaut"/>
    <w:rsid w:val="001B682F"/>
  </w:style>
  <w:style w:type="character" w:customStyle="1" w:styleId="Mentionnonrsolue1">
    <w:name w:val="Mention non résolue1"/>
    <w:basedOn w:val="Policepardfaut"/>
    <w:uiPriority w:val="99"/>
    <w:semiHidden/>
    <w:unhideWhenUsed/>
    <w:rsid w:val="00A10D49"/>
    <w:rPr>
      <w:color w:val="605E5C"/>
      <w:shd w:val="clear" w:color="auto" w:fill="E1DFDD"/>
    </w:rPr>
  </w:style>
  <w:style w:type="paragraph" w:styleId="Notedebasdepage">
    <w:name w:val="footnote text"/>
    <w:basedOn w:val="Normal"/>
    <w:link w:val="NotedebasdepageCar"/>
    <w:uiPriority w:val="99"/>
    <w:unhideWhenUsed/>
    <w:rsid w:val="000D3D75"/>
    <w:rPr>
      <w:rFonts w:asciiTheme="minorHAnsi" w:eastAsiaTheme="minorEastAsia" w:hAnsiTheme="minorHAnsi" w:cstheme="minorBidi"/>
    </w:rPr>
  </w:style>
  <w:style w:type="character" w:customStyle="1" w:styleId="NotedebasdepageCar">
    <w:name w:val="Note de bas de page Car"/>
    <w:basedOn w:val="Policepardfaut"/>
    <w:link w:val="Notedebasdepage"/>
    <w:uiPriority w:val="99"/>
    <w:rsid w:val="000D3D75"/>
    <w:rPr>
      <w:rFonts w:asciiTheme="minorHAnsi" w:eastAsiaTheme="minorEastAsia" w:hAnsiTheme="minorHAnsi" w:cstheme="minorBidi"/>
    </w:rPr>
  </w:style>
  <w:style w:type="character" w:styleId="Appelnotedebasdep">
    <w:name w:val="footnote reference"/>
    <w:basedOn w:val="Policepardfaut"/>
    <w:uiPriority w:val="99"/>
    <w:unhideWhenUsed/>
    <w:rsid w:val="000D3D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8906139">
      <w:bodyDiv w:val="1"/>
      <w:marLeft w:val="0"/>
      <w:marRight w:val="0"/>
      <w:marTop w:val="0"/>
      <w:marBottom w:val="0"/>
      <w:divBdr>
        <w:top w:val="none" w:sz="0" w:space="0" w:color="auto"/>
        <w:left w:val="none" w:sz="0" w:space="0" w:color="auto"/>
        <w:bottom w:val="none" w:sz="0" w:space="0" w:color="auto"/>
        <w:right w:val="none" w:sz="0" w:space="0" w:color="auto"/>
      </w:divBdr>
    </w:div>
    <w:div w:id="21285039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youtu.be/0v11zU0MNz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secli.cef.fr/images/apercus/fiche619.pn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vatican.va/roman_curia/congregations/ccdds/documents/rc_con_ccdds_doc_20020513_vers-direttorio_fr.html"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9/oqf4CbbuG44SiO4Nxrltcx5g==">AMUW2mUXwuVAokKypJWLsf2ZGnB1PX7jraOYnzABQin7Ud2NgjZjyVhiPc3AdvS6J03x3+tvSXvZcywOYPq61CQUMqE6HjqacBOaKsbjA4D860mh6b91s+TLqoA/BmB80CNeymLoyJLvxN7GWRnyfD4S41KGMxyZWTxySxAD7/raSLQmgmrfhTo=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467</Words>
  <Characters>2574</Characters>
  <Application>Microsoft Office Word</Application>
  <DocSecurity>0</DocSecurity>
  <Lines>21</Lines>
  <Paragraphs>6</Paragraphs>
  <ScaleCrop>false</ScaleCrop>
  <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François-Xavier Ledoux</dc:creator>
  <cp:lastModifiedBy>Benoit Baumgartner (SNPLS/M.)</cp:lastModifiedBy>
  <cp:revision>4</cp:revision>
  <dcterms:created xsi:type="dcterms:W3CDTF">2022-11-27T13:43:00Z</dcterms:created>
  <dcterms:modified xsi:type="dcterms:W3CDTF">2022-11-27T14:27:00Z</dcterms:modified>
</cp:coreProperties>
</file>