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6A4C" w14:textId="77777777" w:rsidR="007E6460" w:rsidRDefault="007E6460">
      <w:pPr>
        <w:rPr>
          <w:b/>
          <w:i/>
        </w:rPr>
      </w:pPr>
      <w:bookmarkStart w:id="0" w:name="_GoBack"/>
      <w:bookmarkEnd w:id="0"/>
    </w:p>
    <w:p w14:paraId="5B28C4D8" w14:textId="77777777" w:rsidR="00F81A28" w:rsidRDefault="007E6460">
      <w:pPr>
        <w:jc w:val="center"/>
        <w:rPr>
          <w:b/>
          <w:i/>
          <w:sz w:val="28"/>
          <w:szCs w:val="28"/>
        </w:rPr>
      </w:pPr>
      <w:r>
        <w:rPr>
          <w:b/>
          <w:i/>
          <w:sz w:val="28"/>
          <w:szCs w:val="28"/>
        </w:rPr>
        <w:t>Un rite, un chant</w:t>
      </w:r>
    </w:p>
    <w:p w14:paraId="46146723" w14:textId="77777777" w:rsidR="00F81A28" w:rsidRDefault="00F81A28"/>
    <w:p w14:paraId="17C58D4C" w14:textId="77777777" w:rsidR="00F81A28" w:rsidRDefault="007E6460">
      <w:pPr>
        <w:jc w:val="center"/>
        <w:rPr>
          <w:b/>
        </w:rPr>
      </w:pPr>
      <w:r>
        <w:rPr>
          <w:b/>
        </w:rPr>
        <w:t>Béni sois-tu, Seigneur, en l’honneur de la Vierge Marie</w:t>
      </w:r>
    </w:p>
    <w:p w14:paraId="10CA5F73" w14:textId="77777777" w:rsidR="00F81A28" w:rsidRDefault="007E6460">
      <w:pPr>
        <w:jc w:val="center"/>
        <w:rPr>
          <w:b/>
        </w:rPr>
      </w:pPr>
      <w:r>
        <w:rPr>
          <w:b/>
        </w:rPr>
        <w:t xml:space="preserve">(V24 / </w:t>
      </w:r>
      <w:r>
        <w:rPr>
          <w:b/>
          <w:i/>
        </w:rPr>
        <w:t>CNA</w:t>
      </w:r>
      <w:r>
        <w:rPr>
          <w:b/>
        </w:rPr>
        <w:t xml:space="preserve"> 617)</w:t>
      </w:r>
    </w:p>
    <w:p w14:paraId="3EBC7327" w14:textId="77777777" w:rsidR="00F81A28" w:rsidRDefault="00F81A28">
      <w:pPr>
        <w:jc w:val="center"/>
        <w:rPr>
          <w:b/>
          <w:i/>
        </w:rPr>
      </w:pPr>
      <w:bookmarkStart w:id="1" w:name="_heading=h.30j0zll" w:colFirst="0" w:colLast="0"/>
      <w:bookmarkEnd w:id="1"/>
    </w:p>
    <w:p w14:paraId="5E9A77BB" w14:textId="77777777" w:rsidR="00F81A28" w:rsidRDefault="00F81A28">
      <w:pPr>
        <w:rPr>
          <w:b/>
          <w:i/>
        </w:rPr>
      </w:pPr>
    </w:p>
    <w:p w14:paraId="66F03598" w14:textId="77777777" w:rsidR="00F81A28" w:rsidRDefault="007E6460">
      <w:pPr>
        <w:rPr>
          <w:b/>
          <w:i/>
        </w:rPr>
      </w:pPr>
      <w:r>
        <w:rPr>
          <w:b/>
          <w:i/>
        </w:rPr>
        <w:t>Critères de choix</w:t>
      </w:r>
    </w:p>
    <w:p w14:paraId="2845014E" w14:textId="77777777" w:rsidR="00F81A28" w:rsidRDefault="00F81A28"/>
    <w:p w14:paraId="7A4FD530" w14:textId="77777777" w:rsidR="00F81A28" w:rsidRDefault="007E6460">
      <w:pPr>
        <w:spacing w:after="120"/>
        <w:rPr>
          <w:b/>
          <w:smallCaps/>
          <w:sz w:val="28"/>
          <w:szCs w:val="28"/>
        </w:rPr>
      </w:pPr>
      <w:r>
        <w:rPr>
          <w:b/>
          <w:smallCaps/>
          <w:sz w:val="28"/>
          <w:szCs w:val="28"/>
        </w:rPr>
        <w:t>Rite et assemblée</w:t>
      </w:r>
    </w:p>
    <w:p w14:paraId="63B29A0E" w14:textId="77777777" w:rsidR="00F81A28" w:rsidRDefault="007E6460">
      <w:pPr>
        <w:pBdr>
          <w:top w:val="single" w:sz="4" w:space="1" w:color="000000"/>
          <w:left w:val="single" w:sz="4" w:space="4" w:color="000000"/>
          <w:bottom w:val="single" w:sz="4" w:space="1" w:color="000000"/>
          <w:right w:val="single" w:sz="4" w:space="4" w:color="000000"/>
        </w:pBdr>
        <w:jc w:val="both"/>
        <w:rPr>
          <w:i/>
        </w:rPr>
      </w:pPr>
      <w:r>
        <w:rPr>
          <w:i/>
        </w:rPr>
        <w:t xml:space="preserve">« Le couple </w:t>
      </w:r>
      <w:r>
        <w:t>rite-assemblée</w:t>
      </w:r>
      <w:r>
        <w:rPr>
          <w:i/>
        </w:rPr>
        <w:t xml:space="preserve"> est sous-jacent au couple texte-musique mais il est plus radical, car le rite est "pour" l’assemblée mais il n’existe que "par" l’assemblée</w:t>
      </w:r>
      <w:r>
        <w:rPr>
          <w:vertAlign w:val="superscript"/>
        </w:rPr>
        <w:footnoteReference w:id="1"/>
      </w:r>
      <w:r>
        <w:rPr>
          <w:i/>
        </w:rPr>
        <w:t>. »</w:t>
      </w:r>
    </w:p>
    <w:p w14:paraId="55CD0298" w14:textId="77777777" w:rsidR="00F81A28" w:rsidRDefault="00F81A28"/>
    <w:p w14:paraId="34E9768F" w14:textId="77777777" w:rsidR="00F81A28" w:rsidRPr="00B900E6" w:rsidRDefault="007E6460" w:rsidP="00B900E6">
      <w:pPr>
        <w:numPr>
          <w:ilvl w:val="0"/>
          <w:numId w:val="4"/>
        </w:numPr>
        <w:pBdr>
          <w:top w:val="nil"/>
          <w:left w:val="nil"/>
          <w:bottom w:val="nil"/>
          <w:right w:val="nil"/>
          <w:between w:val="nil"/>
        </w:pBdr>
        <w:spacing w:after="120"/>
        <w:ind w:left="425" w:hanging="357"/>
        <w:rPr>
          <w:b/>
          <w:color w:val="000000"/>
        </w:rPr>
      </w:pPr>
      <w:r>
        <w:rPr>
          <w:b/>
          <w:color w:val="000000"/>
        </w:rPr>
        <w:t>Convenance liturgique</w:t>
      </w:r>
      <w:r>
        <w:rPr>
          <w:noProof/>
        </w:rPr>
        <mc:AlternateContent>
          <mc:Choice Requires="wps">
            <w:drawing>
              <wp:anchor distT="0" distB="0" distL="114300" distR="114300" simplePos="0" relativeHeight="251658240" behindDoc="0" locked="0" layoutInCell="1" hidden="0" allowOverlap="1" wp14:anchorId="73E46012" wp14:editId="1B4675F9">
                <wp:simplePos x="0" y="0"/>
                <wp:positionH relativeFrom="column">
                  <wp:posOffset>4025900</wp:posOffset>
                </wp:positionH>
                <wp:positionV relativeFrom="paragraph">
                  <wp:posOffset>88900</wp:posOffset>
                </wp:positionV>
                <wp:extent cx="2588895" cy="4087495"/>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4089653" y="1774353"/>
                          <a:ext cx="2512695" cy="4011295"/>
                        </a:xfrm>
                        <a:prstGeom prst="rect">
                          <a:avLst/>
                        </a:prstGeom>
                        <a:noFill/>
                        <a:ln w="76200" cap="flat" cmpd="thickThin">
                          <a:solidFill>
                            <a:srgbClr val="632423"/>
                          </a:solidFill>
                          <a:prstDash val="solid"/>
                          <a:miter lim="800000"/>
                          <a:headEnd type="none" w="sm" len="sm"/>
                          <a:tailEnd type="none" w="sm" len="sm"/>
                        </a:ln>
                      </wps:spPr>
                      <wps:txbx>
                        <w:txbxContent>
                          <w:p w14:paraId="365FD2ED" w14:textId="77777777" w:rsidR="00503DDB" w:rsidRDefault="00503DDB">
                            <w:pPr>
                              <w:textDirection w:val="btLr"/>
                            </w:pPr>
                            <w:r>
                              <w:rPr>
                                <w:rFonts w:ascii="Calibri" w:eastAsia="Calibri" w:hAnsi="Calibri" w:cs="Calibri"/>
                                <w:b/>
                                <w:i/>
                                <w:color w:val="000000"/>
                                <w:sz w:val="18"/>
                              </w:rPr>
                              <w:t>Mémo. : ce</w:t>
                            </w:r>
                            <w:r>
                              <w:rPr>
                                <w:rFonts w:ascii="Calibri" w:eastAsia="Calibri" w:hAnsi="Calibri" w:cs="Calibri"/>
                                <w:b/>
                                <w:color w:val="000000"/>
                                <w:sz w:val="18"/>
                              </w:rPr>
                              <w:t xml:space="preserve"> </w:t>
                            </w:r>
                            <w:r>
                              <w:rPr>
                                <w:rFonts w:ascii="Calibri" w:eastAsia="Calibri" w:hAnsi="Calibri" w:cs="Calibri"/>
                                <w:b/>
                                <w:i/>
                                <w:color w:val="000000"/>
                                <w:sz w:val="18"/>
                              </w:rPr>
                              <w:t>que la liturgie attend d’un chant d’entrée…</w:t>
                            </w:r>
                          </w:p>
                          <w:p w14:paraId="152BB0C8" w14:textId="77777777" w:rsidR="00503DDB" w:rsidRDefault="00503DDB">
                            <w:pPr>
                              <w:textDirection w:val="btLr"/>
                            </w:pPr>
                          </w:p>
                          <w:p w14:paraId="4829A499" w14:textId="77777777" w:rsidR="00503DDB" w:rsidRDefault="00503DDB">
                            <w:pPr>
                              <w:spacing w:after="120"/>
                              <w:textDirection w:val="btLr"/>
                            </w:pPr>
                            <w:r>
                              <w:rPr>
                                <w:rFonts w:ascii="Calibri" w:eastAsia="Calibri" w:hAnsi="Calibri" w:cs="Calibri"/>
                                <w:color w:val="000000"/>
                                <w:sz w:val="18"/>
                                <w:u w:val="single"/>
                              </w:rPr>
                              <w:t>Ses 4 fonctions rituelles</w:t>
                            </w:r>
                            <w:r>
                              <w:rPr>
                                <w:rFonts w:ascii="Calibri" w:eastAsia="Calibri" w:hAnsi="Calibri" w:cs="Calibri"/>
                                <w:color w:val="000000"/>
                                <w:sz w:val="18"/>
                              </w:rPr>
                              <w:t xml:space="preserve"> (</w:t>
                            </w:r>
                            <w:r>
                              <w:rPr>
                                <w:rFonts w:ascii="Calibri" w:eastAsia="Calibri" w:hAnsi="Calibri" w:cs="Calibri"/>
                                <w:i/>
                                <w:color w:val="000000"/>
                                <w:sz w:val="18"/>
                              </w:rPr>
                              <w:t>PGMR</w:t>
                            </w:r>
                            <w:r>
                              <w:rPr>
                                <w:rFonts w:ascii="Calibri" w:eastAsia="Calibri" w:hAnsi="Calibri" w:cs="Calibri"/>
                                <w:color w:val="000000"/>
                                <w:sz w:val="18"/>
                              </w:rPr>
                              <w:t xml:space="preserve"> 47) :</w:t>
                            </w:r>
                          </w:p>
                          <w:p w14:paraId="009C676A" w14:textId="77777777" w:rsidR="00503DDB" w:rsidRDefault="00503DDB">
                            <w:pPr>
                              <w:textDirection w:val="btLr"/>
                            </w:pPr>
                            <w:r>
                              <w:rPr>
                                <w:rFonts w:ascii="Calibri" w:eastAsia="Calibri" w:hAnsi="Calibri" w:cs="Calibri"/>
                                <w:color w:val="000000"/>
                                <w:sz w:val="18"/>
                              </w:rPr>
                              <w:t xml:space="preserve">- « ouvrir la célébration » ; </w:t>
                            </w:r>
                          </w:p>
                          <w:p w14:paraId="0B37FB38" w14:textId="77777777" w:rsidR="00503DDB" w:rsidRDefault="00503DDB">
                            <w:pPr>
                              <w:textDirection w:val="btLr"/>
                            </w:pPr>
                            <w:r>
                              <w:rPr>
                                <w:rFonts w:ascii="Calibri" w:eastAsia="Calibri" w:hAnsi="Calibri" w:cs="Calibri"/>
                                <w:color w:val="000000"/>
                                <w:sz w:val="18"/>
                              </w:rPr>
                              <w:t>- « favoriser l’union des fidèles rassemblés » ;</w:t>
                            </w:r>
                          </w:p>
                          <w:p w14:paraId="7DAD3F2D" w14:textId="77777777" w:rsidR="00503DDB" w:rsidRDefault="00503DDB">
                            <w:pPr>
                              <w:textDirection w:val="btLr"/>
                            </w:pPr>
                            <w:r>
                              <w:rPr>
                                <w:rFonts w:ascii="Calibri" w:eastAsia="Calibri" w:hAnsi="Calibri" w:cs="Calibri"/>
                                <w:color w:val="000000"/>
                                <w:sz w:val="18"/>
                              </w:rPr>
                              <w:t>- « introduire leur esprit dans le mystère du temps liturgique ou de la fête » ;</w:t>
                            </w:r>
                          </w:p>
                          <w:p w14:paraId="7A5D90A7" w14:textId="77777777" w:rsidR="00503DDB" w:rsidRDefault="00503DDB">
                            <w:pPr>
                              <w:textDirection w:val="btLr"/>
                            </w:pPr>
                            <w:r>
                              <w:rPr>
                                <w:rFonts w:ascii="Calibri" w:eastAsia="Calibri" w:hAnsi="Calibri" w:cs="Calibri"/>
                                <w:color w:val="000000"/>
                                <w:sz w:val="18"/>
                              </w:rPr>
                              <w:t>- « accompagner la procession du prêtre et des ministres ».</w:t>
                            </w:r>
                          </w:p>
                          <w:p w14:paraId="72833D18" w14:textId="77777777" w:rsidR="00503DDB" w:rsidRDefault="00503DDB">
                            <w:pPr>
                              <w:textDirection w:val="btLr"/>
                            </w:pPr>
                          </w:p>
                          <w:p w14:paraId="2FCBA73F" w14:textId="77777777" w:rsidR="00503DDB" w:rsidRDefault="00503DDB">
                            <w:pPr>
                              <w:textDirection w:val="btLr"/>
                            </w:pPr>
                            <w:r>
                              <w:rPr>
                                <w:rFonts w:ascii="Calibri" w:eastAsia="Calibri" w:hAnsi="Calibri" w:cs="Calibri"/>
                                <w:color w:val="000000"/>
                                <w:sz w:val="18"/>
                                <w:u w:val="single"/>
                              </w:rPr>
                              <w:t>Quel chant</w:t>
                            </w:r>
                            <w:r>
                              <w:rPr>
                                <w:rFonts w:ascii="Calibri" w:eastAsia="Calibri" w:hAnsi="Calibri" w:cs="Calibri"/>
                                <w:color w:val="000000"/>
                                <w:sz w:val="18"/>
                              </w:rPr>
                              <w:t> ? (</w:t>
                            </w:r>
                            <w:r>
                              <w:rPr>
                                <w:rFonts w:ascii="Calibri" w:eastAsia="Calibri" w:hAnsi="Calibri" w:cs="Calibri"/>
                                <w:i/>
                                <w:color w:val="000000"/>
                                <w:sz w:val="18"/>
                              </w:rPr>
                              <w:t>PGMR</w:t>
                            </w:r>
                            <w:r>
                              <w:rPr>
                                <w:rFonts w:ascii="Calibri" w:eastAsia="Calibri" w:hAnsi="Calibri" w:cs="Calibri"/>
                                <w:color w:val="000000"/>
                                <w:sz w:val="18"/>
                              </w:rPr>
                              <w:t xml:space="preserve"> 48)</w:t>
                            </w:r>
                          </w:p>
                          <w:p w14:paraId="32DBFA86" w14:textId="77777777" w:rsidR="00503DDB" w:rsidRDefault="00503DDB">
                            <w:pPr>
                              <w:jc w:val="both"/>
                              <w:textDirection w:val="btLr"/>
                            </w:pPr>
                            <w:r>
                              <w:rPr>
                                <w:rFonts w:ascii="Calibri" w:eastAsia="Calibri" w:hAnsi="Calibri" w:cs="Calibri"/>
                                <w:color w:val="000000"/>
                                <w:sz w:val="18"/>
                              </w:rPr>
                              <w:t xml:space="preserve">« On peut utiliser ou bien l’antienne [d’ouverture] avec son psaume… ou bien un autre chant accordé à l’action sacrée, au caractère du jour ou du temps, et dont le texte soit approuvé par la Conférence des évêques. » </w:t>
                            </w:r>
                          </w:p>
                          <w:p w14:paraId="3C26A9F7" w14:textId="77777777" w:rsidR="00503DDB" w:rsidRDefault="00503DDB">
                            <w:pPr>
                              <w:jc w:val="both"/>
                              <w:textDirection w:val="btLr"/>
                            </w:pPr>
                          </w:p>
                          <w:p w14:paraId="325346EB" w14:textId="77777777" w:rsidR="00503DDB" w:rsidRDefault="00503DDB">
                            <w:pPr>
                              <w:jc w:val="both"/>
                              <w:textDirection w:val="btLr"/>
                            </w:pPr>
                            <w:r>
                              <w:rPr>
                                <w:rFonts w:ascii="Calibri" w:eastAsia="Calibri" w:hAnsi="Calibri" w:cs="Calibri"/>
                                <w:color w:val="000000"/>
                                <w:sz w:val="18"/>
                              </w:rPr>
                              <w:t xml:space="preserve">=&gt; </w:t>
                            </w:r>
                            <w:r>
                              <w:rPr>
                                <w:rFonts w:ascii="Calibri" w:eastAsia="Calibri" w:hAnsi="Calibri" w:cs="Calibri"/>
                                <w:color w:val="000000"/>
                                <w:sz w:val="18"/>
                                <w:u w:val="single"/>
                              </w:rPr>
                              <w:t>Formes de chants possibles bien adaptées au programme rituel</w:t>
                            </w:r>
                            <w:r>
                              <w:rPr>
                                <w:rFonts w:ascii="Calibri" w:eastAsia="Calibri" w:hAnsi="Calibri" w:cs="Calibri"/>
                                <w:color w:val="000000"/>
                                <w:sz w:val="18"/>
                              </w:rPr>
                              <w:t> :</w:t>
                            </w:r>
                          </w:p>
                          <w:p w14:paraId="3FD46536" w14:textId="77777777" w:rsidR="00503DDB" w:rsidRDefault="00503DDB">
                            <w:pPr>
                              <w:jc w:val="both"/>
                              <w:textDirection w:val="btLr"/>
                            </w:pPr>
                            <w:proofErr w:type="gramStart"/>
                            <w:r>
                              <w:rPr>
                                <w:rFonts w:ascii="Calibri" w:eastAsia="Calibri" w:hAnsi="Calibri" w:cs="Calibri"/>
                                <w:color w:val="000000"/>
                                <w:sz w:val="18"/>
                              </w:rPr>
                              <w:t>litanies</w:t>
                            </w:r>
                            <w:proofErr w:type="gramEnd"/>
                            <w:r>
                              <w:rPr>
                                <w:rFonts w:ascii="Calibri" w:eastAsia="Calibri" w:hAnsi="Calibri" w:cs="Calibri"/>
                                <w:color w:val="000000"/>
                                <w:sz w:val="18"/>
                              </w:rPr>
                              <w:t> ; tropaire ; processionnal ; certains cantiques à refrain.</w:t>
                            </w:r>
                          </w:p>
                        </w:txbxContent>
                      </wps:txbx>
                      <wps:bodyPr spcFirstLastPara="1" wrap="square" lIns="137150" tIns="91425" rIns="137150" bIns="91425" anchor="ctr" anchorCtr="0">
                        <a:noAutofit/>
                      </wps:bodyPr>
                    </wps:wsp>
                  </a:graphicData>
                </a:graphic>
              </wp:anchor>
            </w:drawing>
          </mc:Choice>
          <mc:Fallback xmlns="">
            <w:pict>
              <v:rect w14:anchorId="73E46012" id="_x0000_s1026" style="position:absolute;left:0;text-align:left;margin-left:317pt;margin-top:7pt;width:203.85pt;height:321.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" filled="f" strokecolor="#632423" strokeweight="6pt">
                <v:stroke startarrowwidth="narrow" startarrowlength="short" endarrowwidth="narrow" endarrowlength="short" linestyle="thickThin"/>
                <v:textbox inset="3.80972mm,2.53958mm,3.80972mm,2.53958mm">
                  <w:txbxContent>
                    <w:p w14:paraId="365FD2ED" w14:textId="77777777" w:rsidR="00503DDB" w:rsidRDefault="00503DDB">
                      <w:pPr>
                        <w:textDirection w:val="btLr"/>
                      </w:pPr>
                      <w:r>
                        <w:rPr>
                          <w:rFonts w:ascii="Calibri" w:eastAsia="Calibri" w:hAnsi="Calibri" w:cs="Calibri"/>
                          <w:b/>
                          <w:i/>
                          <w:color w:val="000000"/>
                          <w:sz w:val="18"/>
                        </w:rPr>
                        <w:t>Mémo. : ce</w:t>
                      </w:r>
                      <w:r>
                        <w:rPr>
                          <w:rFonts w:ascii="Calibri" w:eastAsia="Calibri" w:hAnsi="Calibri" w:cs="Calibri"/>
                          <w:b/>
                          <w:color w:val="000000"/>
                          <w:sz w:val="18"/>
                        </w:rPr>
                        <w:t xml:space="preserve"> </w:t>
                      </w:r>
                      <w:r>
                        <w:rPr>
                          <w:rFonts w:ascii="Calibri" w:eastAsia="Calibri" w:hAnsi="Calibri" w:cs="Calibri"/>
                          <w:b/>
                          <w:i/>
                          <w:color w:val="000000"/>
                          <w:sz w:val="18"/>
                        </w:rPr>
                        <w:t>que la liturgie attend d’un chant d’entrée…</w:t>
                      </w:r>
                    </w:p>
                    <w:p w14:paraId="152BB0C8" w14:textId="77777777" w:rsidR="00503DDB" w:rsidRDefault="00503DDB">
                      <w:pPr>
                        <w:textDirection w:val="btLr"/>
                      </w:pPr>
                    </w:p>
                    <w:p w14:paraId="4829A499" w14:textId="77777777" w:rsidR="00503DDB" w:rsidRDefault="00503DDB">
                      <w:pPr>
                        <w:spacing w:after="120"/>
                        <w:textDirection w:val="btLr"/>
                      </w:pPr>
                      <w:r>
                        <w:rPr>
                          <w:rFonts w:ascii="Calibri" w:eastAsia="Calibri" w:hAnsi="Calibri" w:cs="Calibri"/>
                          <w:color w:val="000000"/>
                          <w:sz w:val="18"/>
                          <w:u w:val="single"/>
                        </w:rPr>
                        <w:t>Ses 4 fonctions rituelles</w:t>
                      </w:r>
                      <w:r>
                        <w:rPr>
                          <w:rFonts w:ascii="Calibri" w:eastAsia="Calibri" w:hAnsi="Calibri" w:cs="Calibri"/>
                          <w:color w:val="000000"/>
                          <w:sz w:val="18"/>
                        </w:rPr>
                        <w:t xml:space="preserve"> (</w:t>
                      </w:r>
                      <w:r>
                        <w:rPr>
                          <w:rFonts w:ascii="Calibri" w:eastAsia="Calibri" w:hAnsi="Calibri" w:cs="Calibri"/>
                          <w:i/>
                          <w:color w:val="000000"/>
                          <w:sz w:val="18"/>
                        </w:rPr>
                        <w:t>PGMR</w:t>
                      </w:r>
                      <w:r>
                        <w:rPr>
                          <w:rFonts w:ascii="Calibri" w:eastAsia="Calibri" w:hAnsi="Calibri" w:cs="Calibri"/>
                          <w:color w:val="000000"/>
                          <w:sz w:val="18"/>
                        </w:rPr>
                        <w:t xml:space="preserve"> 47) :</w:t>
                      </w:r>
                    </w:p>
                    <w:p w14:paraId="009C676A" w14:textId="77777777" w:rsidR="00503DDB" w:rsidRDefault="00503DDB">
                      <w:pPr>
                        <w:textDirection w:val="btLr"/>
                      </w:pPr>
                      <w:r>
                        <w:rPr>
                          <w:rFonts w:ascii="Calibri" w:eastAsia="Calibri" w:hAnsi="Calibri" w:cs="Calibri"/>
                          <w:color w:val="000000"/>
                          <w:sz w:val="18"/>
                        </w:rPr>
                        <w:t xml:space="preserve">- « ouvrir la célébration » ; </w:t>
                      </w:r>
                    </w:p>
                    <w:p w14:paraId="0B37FB38" w14:textId="77777777" w:rsidR="00503DDB" w:rsidRDefault="00503DDB">
                      <w:pPr>
                        <w:textDirection w:val="btLr"/>
                      </w:pPr>
                      <w:r>
                        <w:rPr>
                          <w:rFonts w:ascii="Calibri" w:eastAsia="Calibri" w:hAnsi="Calibri" w:cs="Calibri"/>
                          <w:color w:val="000000"/>
                          <w:sz w:val="18"/>
                        </w:rPr>
                        <w:t>- « favoriser l’union des fidèles rassemblés » ;</w:t>
                      </w:r>
                    </w:p>
                    <w:p w14:paraId="7DAD3F2D" w14:textId="77777777" w:rsidR="00503DDB" w:rsidRDefault="00503DDB">
                      <w:pPr>
                        <w:textDirection w:val="btLr"/>
                      </w:pPr>
                      <w:r>
                        <w:rPr>
                          <w:rFonts w:ascii="Calibri" w:eastAsia="Calibri" w:hAnsi="Calibri" w:cs="Calibri"/>
                          <w:color w:val="000000"/>
                          <w:sz w:val="18"/>
                        </w:rPr>
                        <w:t>- « introduire leur esprit dans le mystère du temps liturgique ou de la fête » ;</w:t>
                      </w:r>
                    </w:p>
                    <w:p w14:paraId="7A5D90A7" w14:textId="77777777" w:rsidR="00503DDB" w:rsidRDefault="00503DDB">
                      <w:pPr>
                        <w:textDirection w:val="btLr"/>
                      </w:pPr>
                      <w:r>
                        <w:rPr>
                          <w:rFonts w:ascii="Calibri" w:eastAsia="Calibri" w:hAnsi="Calibri" w:cs="Calibri"/>
                          <w:color w:val="000000"/>
                          <w:sz w:val="18"/>
                        </w:rPr>
                        <w:t>- « accompagner la procession du prêtre et des ministres ».</w:t>
                      </w:r>
                    </w:p>
                    <w:p w14:paraId="72833D18" w14:textId="77777777" w:rsidR="00503DDB" w:rsidRDefault="00503DDB">
                      <w:pPr>
                        <w:textDirection w:val="btLr"/>
                      </w:pPr>
                    </w:p>
                    <w:p w14:paraId="2FCBA73F" w14:textId="77777777" w:rsidR="00503DDB" w:rsidRDefault="00503DDB">
                      <w:pPr>
                        <w:textDirection w:val="btLr"/>
                      </w:pPr>
                      <w:r>
                        <w:rPr>
                          <w:rFonts w:ascii="Calibri" w:eastAsia="Calibri" w:hAnsi="Calibri" w:cs="Calibri"/>
                          <w:color w:val="000000"/>
                          <w:sz w:val="18"/>
                          <w:u w:val="single"/>
                        </w:rPr>
                        <w:t>Quel chant</w:t>
                      </w:r>
                      <w:r>
                        <w:rPr>
                          <w:rFonts w:ascii="Calibri" w:eastAsia="Calibri" w:hAnsi="Calibri" w:cs="Calibri"/>
                          <w:color w:val="000000"/>
                          <w:sz w:val="18"/>
                        </w:rPr>
                        <w:t> ? (</w:t>
                      </w:r>
                      <w:r>
                        <w:rPr>
                          <w:rFonts w:ascii="Calibri" w:eastAsia="Calibri" w:hAnsi="Calibri" w:cs="Calibri"/>
                          <w:i/>
                          <w:color w:val="000000"/>
                          <w:sz w:val="18"/>
                        </w:rPr>
                        <w:t>PGMR</w:t>
                      </w:r>
                      <w:r>
                        <w:rPr>
                          <w:rFonts w:ascii="Calibri" w:eastAsia="Calibri" w:hAnsi="Calibri" w:cs="Calibri"/>
                          <w:color w:val="000000"/>
                          <w:sz w:val="18"/>
                        </w:rPr>
                        <w:t xml:space="preserve"> 48)</w:t>
                      </w:r>
                    </w:p>
                    <w:p w14:paraId="32DBFA86" w14:textId="77777777" w:rsidR="00503DDB" w:rsidRDefault="00503DDB">
                      <w:pPr>
                        <w:jc w:val="both"/>
                        <w:textDirection w:val="btLr"/>
                      </w:pPr>
                      <w:r>
                        <w:rPr>
                          <w:rFonts w:ascii="Calibri" w:eastAsia="Calibri" w:hAnsi="Calibri" w:cs="Calibri"/>
                          <w:color w:val="000000"/>
                          <w:sz w:val="18"/>
                        </w:rPr>
                        <w:t xml:space="preserve">« On peut utiliser ou bien l’antienne [d’ouverture] avec son psaume… ou bien un autre chant accordé à l’action sacrée, au caractère du jour ou du temps, et dont le texte soit approuvé par la Conférence des évêques. » </w:t>
                      </w:r>
                    </w:p>
                    <w:p w14:paraId="3C26A9F7" w14:textId="77777777" w:rsidR="00503DDB" w:rsidRDefault="00503DDB">
                      <w:pPr>
                        <w:jc w:val="both"/>
                        <w:textDirection w:val="btLr"/>
                      </w:pPr>
                    </w:p>
                    <w:p w14:paraId="325346EB" w14:textId="77777777" w:rsidR="00503DDB" w:rsidRDefault="00503DDB">
                      <w:pPr>
                        <w:jc w:val="both"/>
                        <w:textDirection w:val="btLr"/>
                      </w:pPr>
                      <w:r>
                        <w:rPr>
                          <w:rFonts w:ascii="Calibri" w:eastAsia="Calibri" w:hAnsi="Calibri" w:cs="Calibri"/>
                          <w:color w:val="000000"/>
                          <w:sz w:val="18"/>
                        </w:rPr>
                        <w:t xml:space="preserve">=&gt; </w:t>
                      </w:r>
                      <w:r>
                        <w:rPr>
                          <w:rFonts w:ascii="Calibri" w:eastAsia="Calibri" w:hAnsi="Calibri" w:cs="Calibri"/>
                          <w:color w:val="000000"/>
                          <w:sz w:val="18"/>
                          <w:u w:val="single"/>
                        </w:rPr>
                        <w:t>Formes de chants possibles bien adaptées au programme rituel</w:t>
                      </w:r>
                      <w:r>
                        <w:rPr>
                          <w:rFonts w:ascii="Calibri" w:eastAsia="Calibri" w:hAnsi="Calibri" w:cs="Calibri"/>
                          <w:color w:val="000000"/>
                          <w:sz w:val="18"/>
                        </w:rPr>
                        <w:t> :</w:t>
                      </w:r>
                    </w:p>
                    <w:p w14:paraId="3FD46536" w14:textId="77777777" w:rsidR="00503DDB" w:rsidRDefault="00503DDB">
                      <w:pPr>
                        <w:jc w:val="both"/>
                        <w:textDirection w:val="btLr"/>
                      </w:pPr>
                      <w:proofErr w:type="gramStart"/>
                      <w:r>
                        <w:rPr>
                          <w:rFonts w:ascii="Calibri" w:eastAsia="Calibri" w:hAnsi="Calibri" w:cs="Calibri"/>
                          <w:color w:val="000000"/>
                          <w:sz w:val="18"/>
                        </w:rPr>
                        <w:t>litanies</w:t>
                      </w:r>
                      <w:proofErr w:type="gramEnd"/>
                      <w:r>
                        <w:rPr>
                          <w:rFonts w:ascii="Calibri" w:eastAsia="Calibri" w:hAnsi="Calibri" w:cs="Calibri"/>
                          <w:color w:val="000000"/>
                          <w:sz w:val="18"/>
                        </w:rPr>
                        <w:t> ; tropaire ; processionnal ; certains cantiques à refrain.</w:t>
                      </w:r>
                    </w:p>
                  </w:txbxContent>
                </v:textbox>
                <w10:wrap type="square"/>
              </v:rect>
            </w:pict>
          </mc:Fallback>
        </mc:AlternateContent>
      </w:r>
      <w:bookmarkStart w:id="2" w:name="_heading=h.gjdgxs" w:colFirst="0" w:colLast="0"/>
      <w:bookmarkEnd w:id="2"/>
    </w:p>
    <w:p w14:paraId="7B7610A8" w14:textId="77777777" w:rsidR="00F81A28" w:rsidRDefault="007E6460">
      <w:pPr>
        <w:numPr>
          <w:ilvl w:val="0"/>
          <w:numId w:val="6"/>
        </w:numPr>
        <w:spacing w:after="120"/>
        <w:ind w:left="714" w:hanging="357"/>
      </w:pPr>
      <w:bookmarkStart w:id="3" w:name="_heading=h.690zqv702jb4" w:colFirst="0" w:colLast="0"/>
      <w:bookmarkEnd w:id="3"/>
      <w:r>
        <w:rPr>
          <w:i/>
        </w:rPr>
        <w:t>Pour quel temps liturgique ?</w:t>
      </w:r>
      <w:r>
        <w:t xml:space="preserve"> </w:t>
      </w:r>
    </w:p>
    <w:p w14:paraId="7B69EC85" w14:textId="77777777" w:rsidR="00F81A28" w:rsidRDefault="007E6460">
      <w:pPr>
        <w:spacing w:after="120"/>
        <w:ind w:left="709"/>
      </w:pPr>
      <w:bookmarkStart w:id="4" w:name="_heading=h.1fob9te" w:colFirst="0" w:colLast="0"/>
      <w:bookmarkEnd w:id="4"/>
      <w:r>
        <w:t>Si ce chant n’est pas propre à un temps liturgique en particulier, il convient aux fêtes mariales mais aussi aux temps, aux mois ou aux dimanches qui honorent plus particulièrement Marie, comme le temps de l’Avent (Immaculée Conception ; 4</w:t>
      </w:r>
      <w:r>
        <w:rPr>
          <w:vertAlign w:val="superscript"/>
        </w:rPr>
        <w:t>e</w:t>
      </w:r>
      <w:r>
        <w:t xml:space="preserve"> dimanche)</w:t>
      </w:r>
      <w:r>
        <w:rPr>
          <w:highlight w:val="white"/>
          <w:vertAlign w:val="superscript"/>
        </w:rPr>
        <w:footnoteReference w:id="2"/>
      </w:r>
      <w:r>
        <w:rPr>
          <w:highlight w:val="white"/>
        </w:rPr>
        <w:t>.</w:t>
      </w:r>
    </w:p>
    <w:p w14:paraId="29A3B54F" w14:textId="77777777" w:rsidR="00F81A28" w:rsidRDefault="007E6460">
      <w:pPr>
        <w:numPr>
          <w:ilvl w:val="0"/>
          <w:numId w:val="6"/>
        </w:numPr>
        <w:spacing w:after="120"/>
        <w:ind w:left="714" w:hanging="357"/>
      </w:pPr>
      <w:r>
        <w:rPr>
          <w:i/>
        </w:rPr>
        <w:t>Quelle attitude spirituelle ?</w:t>
      </w:r>
      <w:r>
        <w:t xml:space="preserve"> </w:t>
      </w:r>
      <w:r>
        <w:rPr>
          <w:b/>
        </w:rPr>
        <w:t>Louange et bénédiction.</w:t>
      </w:r>
    </w:p>
    <w:p w14:paraId="086F6F72" w14:textId="77777777" w:rsidR="00F81A28" w:rsidRDefault="00B900E6">
      <w:pPr>
        <w:spacing w:after="120"/>
        <w:ind w:left="714"/>
      </w:pPr>
      <w:r>
        <w:t xml:space="preserve">Le refrain nous fait entrer dans la louange sous le mode de la bénédiction adressée au Seigneur, </w:t>
      </w:r>
      <w:r w:rsidRPr="00085D18">
        <w:rPr>
          <w:i/>
        </w:rPr>
        <w:t>en l’honneur de la Vierge Marie</w:t>
      </w:r>
      <w:r>
        <w:t>, qu’il a très intimement associée au plan du Salut, afin que nous soyons unis à la divinité de Celui qui,</w:t>
      </w:r>
      <w:r w:rsidR="00085D18">
        <w:t xml:space="preserve"> en elle, a pris notre humanité ; et les couplets explicitent, avec un certain lyrisme, les raisons de bénir le Seigneur.</w:t>
      </w:r>
    </w:p>
    <w:p w14:paraId="3613106D" w14:textId="77777777" w:rsidR="00F81A28" w:rsidRDefault="007E6460">
      <w:pPr>
        <w:numPr>
          <w:ilvl w:val="0"/>
          <w:numId w:val="6"/>
        </w:numPr>
        <w:spacing w:after="120"/>
        <w:ind w:left="714" w:hanging="357"/>
      </w:pPr>
      <w:r>
        <w:rPr>
          <w:i/>
        </w:rPr>
        <w:t xml:space="preserve">Pour quel rite liturgique ? </w:t>
      </w:r>
      <w:r>
        <w:rPr>
          <w:b/>
        </w:rPr>
        <w:t xml:space="preserve">Ouverture </w:t>
      </w:r>
    </w:p>
    <w:p w14:paraId="1469FF4A" w14:textId="77777777" w:rsidR="00F81A28" w:rsidRDefault="007E6460">
      <w:pPr>
        <w:pBdr>
          <w:top w:val="nil"/>
          <w:left w:val="nil"/>
          <w:bottom w:val="nil"/>
          <w:right w:val="nil"/>
          <w:between w:val="nil"/>
        </w:pBdr>
        <w:spacing w:after="120"/>
        <w:ind w:left="738"/>
      </w:pPr>
      <w:r>
        <w:t>Ce chant est tout à fait adapté pour accompagner le rite d’entrée d’une célébration, car le texte du refra</w:t>
      </w:r>
      <w:r w:rsidR="00503DDB">
        <w:t>in nous tourne vers le Seigneur </w:t>
      </w:r>
      <w:r>
        <w:t>: même lors d’une fête de Marie ou d’</w:t>
      </w:r>
      <w:proofErr w:type="spellStart"/>
      <w:r>
        <w:t>un</w:t>
      </w:r>
      <w:r w:rsidR="00503DDB">
        <w:t>·e</w:t>
      </w:r>
      <w:proofErr w:type="spellEnd"/>
      <w:r>
        <w:t xml:space="preserve"> </w:t>
      </w:r>
      <w:proofErr w:type="spellStart"/>
      <w:r>
        <w:t>saint</w:t>
      </w:r>
      <w:r w:rsidR="00503DDB">
        <w:t>·e</w:t>
      </w:r>
      <w:proofErr w:type="spellEnd"/>
      <w:r>
        <w:t>, c’est d’abord et toujours à et dans la lumière du Mystère pascal du Seigneur qu’ils sont et doivent être honorés.</w:t>
      </w:r>
    </w:p>
    <w:p w14:paraId="41737D9E" w14:textId="77777777" w:rsidR="00F81A28" w:rsidRDefault="007E6460">
      <w:pPr>
        <w:numPr>
          <w:ilvl w:val="0"/>
          <w:numId w:val="3"/>
        </w:numPr>
        <w:pBdr>
          <w:top w:val="nil"/>
          <w:left w:val="nil"/>
          <w:bottom w:val="nil"/>
          <w:right w:val="nil"/>
          <w:between w:val="nil"/>
        </w:pBdr>
        <w:ind w:left="425" w:hanging="357"/>
        <w:rPr>
          <w:b/>
          <w:color w:val="000000"/>
        </w:rPr>
      </w:pPr>
      <w:r>
        <w:rPr>
          <w:b/>
          <w:color w:val="000000"/>
        </w:rPr>
        <w:t>Convenance ecclésiale : « </w:t>
      </w:r>
      <w:r>
        <w:t>L’Assemblée, sujet premier de la célébration. »</w:t>
      </w:r>
    </w:p>
    <w:p w14:paraId="06A6F809" w14:textId="77777777" w:rsidR="00F81A28" w:rsidRDefault="00F81A28">
      <w:pPr>
        <w:pBdr>
          <w:top w:val="nil"/>
          <w:left w:val="nil"/>
          <w:bottom w:val="nil"/>
          <w:right w:val="nil"/>
          <w:between w:val="nil"/>
        </w:pBdr>
        <w:ind w:left="425"/>
        <w:rPr>
          <w:b/>
          <w:color w:val="000000"/>
        </w:rPr>
      </w:pPr>
    </w:p>
    <w:p w14:paraId="4E861862" w14:textId="77777777" w:rsidR="00F81A28" w:rsidRDefault="007E6460">
      <w:pPr>
        <w:numPr>
          <w:ilvl w:val="0"/>
          <w:numId w:val="5"/>
        </w:numPr>
        <w:pBdr>
          <w:top w:val="nil"/>
          <w:left w:val="nil"/>
          <w:bottom w:val="nil"/>
          <w:right w:val="nil"/>
          <w:between w:val="nil"/>
        </w:pBdr>
        <w:spacing w:after="120"/>
        <w:ind w:left="714" w:hanging="357"/>
        <w:rPr>
          <w:i/>
          <w:color w:val="000000"/>
        </w:rPr>
      </w:pPr>
      <w:r>
        <w:rPr>
          <w:i/>
          <w:color w:val="000000"/>
        </w:rPr>
        <w:t>À quelle assemblée peut convenir ce chant ?</w:t>
      </w:r>
    </w:p>
    <w:p w14:paraId="09623A67" w14:textId="77777777" w:rsidR="00F81A28" w:rsidRPr="00085D18" w:rsidRDefault="007E6460" w:rsidP="00085D18">
      <w:pPr>
        <w:pBdr>
          <w:top w:val="nil"/>
          <w:left w:val="nil"/>
          <w:bottom w:val="nil"/>
          <w:right w:val="nil"/>
          <w:between w:val="nil"/>
        </w:pBdr>
        <w:spacing w:after="120"/>
        <w:ind w:left="720"/>
      </w:pPr>
      <w:r w:rsidRPr="007E6460">
        <w:t>Pour tout type d’assemblée.</w:t>
      </w:r>
      <w:r>
        <w:br w:type="page"/>
      </w:r>
    </w:p>
    <w:p w14:paraId="186729E2" w14:textId="77777777" w:rsidR="00F81A28" w:rsidRDefault="00F81A28">
      <w:pPr>
        <w:spacing w:after="120"/>
        <w:rPr>
          <w:b/>
          <w:smallCaps/>
          <w:color w:val="000000"/>
        </w:rPr>
      </w:pPr>
    </w:p>
    <w:p w14:paraId="48BE79E0" w14:textId="77777777" w:rsidR="00F81A28" w:rsidRDefault="007E6460">
      <w:pPr>
        <w:spacing w:after="120"/>
        <w:rPr>
          <w:b/>
          <w:smallCaps/>
          <w:color w:val="000000"/>
          <w:sz w:val="28"/>
          <w:szCs w:val="28"/>
        </w:rPr>
      </w:pPr>
      <w:r>
        <w:rPr>
          <w:b/>
          <w:smallCaps/>
          <w:color w:val="000000"/>
          <w:sz w:val="28"/>
          <w:szCs w:val="28"/>
        </w:rPr>
        <w:t>Texte et musique</w:t>
      </w:r>
    </w:p>
    <w:p w14:paraId="4E5657BF" w14:textId="77777777" w:rsidR="00F81A28" w:rsidRDefault="00F81A28">
      <w:pPr>
        <w:spacing w:after="120"/>
        <w:rPr>
          <w:sz w:val="12"/>
          <w:szCs w:val="12"/>
        </w:rPr>
      </w:pPr>
    </w:p>
    <w:p w14:paraId="61711E44" w14:textId="22C5B10B" w:rsidR="00F81A28" w:rsidRDefault="007E6460">
      <w:pPr>
        <w:numPr>
          <w:ilvl w:val="0"/>
          <w:numId w:val="2"/>
        </w:numPr>
        <w:pBdr>
          <w:top w:val="nil"/>
          <w:left w:val="nil"/>
          <w:bottom w:val="nil"/>
          <w:right w:val="nil"/>
          <w:between w:val="nil"/>
        </w:pBdr>
        <w:spacing w:after="120"/>
        <w:ind w:left="714" w:hanging="357"/>
        <w:rPr>
          <w:color w:val="000000"/>
        </w:rPr>
      </w:pPr>
      <w:r>
        <w:rPr>
          <w:b/>
          <w:color w:val="000000"/>
        </w:rPr>
        <w:t>Convenance textuelle et musicale</w:t>
      </w:r>
      <w:r w:rsidR="003B6F47" w:rsidRPr="003B6F47">
        <w:rPr>
          <w:b/>
          <w:color w:val="000000"/>
        </w:rPr>
        <w:t xml:space="preserve"> </w:t>
      </w:r>
      <w:r w:rsidR="003B6F47">
        <w:rPr>
          <w:b/>
          <w:color w:val="000000"/>
        </w:rPr>
        <w:t>- M</w:t>
      </w:r>
      <w:r w:rsidR="003B6F47" w:rsidRPr="00C96A3D">
        <w:rPr>
          <w:b/>
          <w:color w:val="000000"/>
        </w:rPr>
        <w:t>ise en œuvre</w:t>
      </w:r>
    </w:p>
    <w:p w14:paraId="4BA2F569" w14:textId="77777777" w:rsidR="00F81A28" w:rsidRDefault="00F81A28">
      <w:pPr>
        <w:ind w:left="720"/>
      </w:pPr>
    </w:p>
    <w:p w14:paraId="701E06EE" w14:textId="77777777" w:rsidR="00C96A3D" w:rsidRDefault="00C96A3D" w:rsidP="00ED7C03">
      <w:pPr>
        <w:ind w:left="714"/>
      </w:pPr>
      <w:r>
        <w:t>Ce chant appartient à ces anciennes compositions liturgiques qui méritent de rester dans les mémoires. Il ne faut pas hésiter à les reprendre.</w:t>
      </w:r>
      <w:r>
        <w:br/>
        <w:t>La facture de ce chant allie de manière remarquable la science d’écriture à la capacité à être facilement assimilé par les assemblées.</w:t>
      </w:r>
      <w:r>
        <w:br/>
        <w:t>Le refrain est divisé en trois phrases, la troisième reprenant le thème de la première avec une formule mélodique conclusive : le sommet du thème est naturellement sur « Vierge Marie ».</w:t>
      </w:r>
      <w:r>
        <w:br/>
        <w:t xml:space="preserve">Les couplets demandent une souplesse destinée plutôt à un soliste : les deux parties s’équilibrent, l’une orientée vers l’aigu FA/DO, l’autre lui répondant  vers le grave RE/FA. </w:t>
      </w:r>
      <w:r>
        <w:br/>
        <w:t xml:space="preserve">L’opposition entre le refrain bien rythmé et les couplets tout en souplesse nourrit la dynamique du chant dans le jeu des oppositions et des dialogues. </w:t>
      </w:r>
    </w:p>
    <w:p w14:paraId="45ADADC3" w14:textId="77777777" w:rsidR="00F81A28" w:rsidRDefault="00F81A28">
      <w:pPr>
        <w:ind w:left="720"/>
        <w:rPr>
          <w:i/>
        </w:rPr>
      </w:pPr>
    </w:p>
    <w:p w14:paraId="7CD94C29" w14:textId="1525B95B" w:rsidR="00F81A28" w:rsidRPr="00C96A3D" w:rsidRDefault="007E6460" w:rsidP="00C96A3D">
      <w:pPr>
        <w:numPr>
          <w:ilvl w:val="0"/>
          <w:numId w:val="2"/>
        </w:numPr>
        <w:pBdr>
          <w:top w:val="nil"/>
          <w:left w:val="nil"/>
          <w:bottom w:val="nil"/>
          <w:right w:val="nil"/>
          <w:between w:val="nil"/>
        </w:pBdr>
        <w:spacing w:after="120"/>
        <w:ind w:left="714" w:hanging="357"/>
        <w:rPr>
          <w:color w:val="000000"/>
        </w:rPr>
      </w:pPr>
      <w:r>
        <w:rPr>
          <w:b/>
          <w:color w:val="000000"/>
        </w:rPr>
        <w:t>Convenance vocale et corporelle</w:t>
      </w:r>
      <w:r w:rsidR="00C96A3D">
        <w:rPr>
          <w:color w:val="000000"/>
        </w:rPr>
        <w:t xml:space="preserve"> </w:t>
      </w:r>
    </w:p>
    <w:p w14:paraId="6C8EFE77" w14:textId="77777777" w:rsidR="00ED7C03" w:rsidRDefault="00ED7C03" w:rsidP="00ED7C03">
      <w:pPr>
        <w:pStyle w:val="Paragraphedeliste"/>
        <w:spacing w:before="100" w:beforeAutospacing="1" w:after="100" w:afterAutospacing="1"/>
      </w:pPr>
      <w:r>
        <w:t>Bien inspirer avant chacune des phrases du refrain, afin de les chanter avec ferveur et dans l’action de grâce. Pour les couplets, on entonnera la phrase avec élan pour bien chanter la quinte ascendante, et on prendra le temps de placer le texte sur la ligne mélodique. Les deux phrases des couplets se chanteront sur une seule inspiration chacune.</w:t>
      </w:r>
    </w:p>
    <w:p w14:paraId="374BB69C" w14:textId="5BDC1589" w:rsidR="00F81A28" w:rsidRDefault="00F81A28">
      <w:pPr>
        <w:pBdr>
          <w:top w:val="nil"/>
          <w:left w:val="nil"/>
          <w:bottom w:val="nil"/>
          <w:right w:val="nil"/>
          <w:between w:val="nil"/>
        </w:pBdr>
        <w:spacing w:after="120"/>
        <w:ind w:left="720"/>
        <w:rPr>
          <w:b/>
          <w:color w:val="000000"/>
        </w:rPr>
      </w:pPr>
    </w:p>
    <w:p w14:paraId="19CB9A34" w14:textId="77777777" w:rsidR="00964999" w:rsidRDefault="00964999">
      <w:pPr>
        <w:pBdr>
          <w:top w:val="nil"/>
          <w:left w:val="nil"/>
          <w:bottom w:val="nil"/>
          <w:right w:val="nil"/>
          <w:between w:val="nil"/>
        </w:pBdr>
        <w:spacing w:after="120"/>
        <w:ind w:left="720"/>
        <w:rPr>
          <w:b/>
          <w:color w:val="000000"/>
        </w:rPr>
      </w:pPr>
    </w:p>
    <w:p w14:paraId="6EA93FEF" w14:textId="77777777" w:rsidR="00F81A28" w:rsidRDefault="00F81A28"/>
    <w:p w14:paraId="6E0695AE" w14:textId="77777777" w:rsidR="00F81A28" w:rsidRDefault="007E6460">
      <w:pPr>
        <w:jc w:val="center"/>
      </w:pPr>
      <w:r>
        <w:t>*****</w:t>
      </w:r>
    </w:p>
    <w:p w14:paraId="0DA916BF" w14:textId="77777777" w:rsidR="00F81A28" w:rsidRDefault="00F81A28"/>
    <w:p w14:paraId="2ADA4B78" w14:textId="77777777" w:rsidR="00F81A28" w:rsidRDefault="007E6460">
      <w:pPr>
        <w:numPr>
          <w:ilvl w:val="0"/>
          <w:numId w:val="1"/>
        </w:numPr>
        <w:ind w:left="426" w:firstLine="0"/>
        <w:rPr>
          <w:color w:val="000000"/>
        </w:rPr>
      </w:pPr>
      <w:r>
        <w:rPr>
          <w:i/>
          <w:color w:val="000000"/>
        </w:rPr>
        <w:t>Sources bibliques</w:t>
      </w:r>
      <w:r>
        <w:rPr>
          <w:color w:val="000000"/>
        </w:rPr>
        <w:t xml:space="preserve"> : </w:t>
      </w:r>
      <w:proofErr w:type="spellStart"/>
      <w:r w:rsidR="00085D18">
        <w:rPr>
          <w:i/>
        </w:rPr>
        <w:t>Jdt</w:t>
      </w:r>
      <w:proofErr w:type="spellEnd"/>
      <w:r w:rsidR="00085D18">
        <w:rPr>
          <w:i/>
        </w:rPr>
        <w:t xml:space="preserve"> 13, 24-25 /</w:t>
      </w:r>
      <w:r w:rsidR="00385609">
        <w:rPr>
          <w:i/>
        </w:rPr>
        <w:t xml:space="preserve"> </w:t>
      </w:r>
      <w:r w:rsidR="00385609" w:rsidRPr="00085D18">
        <w:rPr>
          <w:b/>
          <w:i/>
        </w:rPr>
        <w:t>Promise :</w:t>
      </w:r>
      <w:r w:rsidR="00385609">
        <w:rPr>
          <w:i/>
        </w:rPr>
        <w:t xml:space="preserve"> Pr 8, 22-31 ; Si 24, 2-10 /</w:t>
      </w:r>
      <w:r w:rsidR="00385609" w:rsidRPr="00085D18">
        <w:rPr>
          <w:b/>
          <w:i/>
        </w:rPr>
        <w:t xml:space="preserve"> Incarnation :</w:t>
      </w:r>
      <w:r w:rsidR="00503DDB">
        <w:rPr>
          <w:i/>
        </w:rPr>
        <w:t xml:space="preserve"> </w:t>
      </w:r>
      <w:proofErr w:type="spellStart"/>
      <w:r w:rsidR="00503DDB">
        <w:rPr>
          <w:i/>
        </w:rPr>
        <w:t>Lc</w:t>
      </w:r>
      <w:proofErr w:type="spellEnd"/>
      <w:r w:rsidR="00503DDB">
        <w:rPr>
          <w:i/>
        </w:rPr>
        <w:t xml:space="preserve"> 1, 26-3</w:t>
      </w:r>
      <w:r w:rsidR="00085D18">
        <w:rPr>
          <w:i/>
        </w:rPr>
        <w:t xml:space="preserve">8 ; </w:t>
      </w:r>
      <w:proofErr w:type="spellStart"/>
      <w:r w:rsidR="00085D18">
        <w:rPr>
          <w:i/>
        </w:rPr>
        <w:t>Jn</w:t>
      </w:r>
      <w:proofErr w:type="spellEnd"/>
      <w:r w:rsidR="00085D18">
        <w:rPr>
          <w:i/>
        </w:rPr>
        <w:t xml:space="preserve"> 19, 25 / </w:t>
      </w:r>
      <w:r w:rsidR="00085D18" w:rsidRPr="00085D18">
        <w:rPr>
          <w:b/>
          <w:i/>
        </w:rPr>
        <w:t>Marie-Église :</w:t>
      </w:r>
      <w:r w:rsidR="00085D18">
        <w:rPr>
          <w:i/>
        </w:rPr>
        <w:t xml:space="preserve"> Ct 6, 10 ; Mt 13, 43</w:t>
      </w:r>
      <w:r w:rsidR="00503DDB">
        <w:rPr>
          <w:i/>
        </w:rPr>
        <w:t> ;</w:t>
      </w:r>
      <w:r w:rsidR="00503DDB" w:rsidRPr="00503DDB">
        <w:rPr>
          <w:i/>
        </w:rPr>
        <w:t xml:space="preserve"> </w:t>
      </w:r>
      <w:proofErr w:type="spellStart"/>
      <w:r w:rsidR="00503DDB">
        <w:rPr>
          <w:i/>
        </w:rPr>
        <w:t>Ap</w:t>
      </w:r>
      <w:proofErr w:type="spellEnd"/>
      <w:r w:rsidR="00503DDB">
        <w:rPr>
          <w:i/>
        </w:rPr>
        <w:t xml:space="preserve"> 21</w:t>
      </w:r>
      <w:r w:rsidR="00085D18">
        <w:rPr>
          <w:i/>
        </w:rPr>
        <w:t xml:space="preserve"> / </w:t>
      </w:r>
      <w:r w:rsidR="00085D18" w:rsidRPr="00085D18">
        <w:rPr>
          <w:b/>
          <w:i/>
        </w:rPr>
        <w:t>Bénie entre toutes les femmes :</w:t>
      </w:r>
      <w:r w:rsidR="00503DDB">
        <w:rPr>
          <w:i/>
        </w:rPr>
        <w:t xml:space="preserve"> Ps 44, 18 ; </w:t>
      </w:r>
      <w:proofErr w:type="spellStart"/>
      <w:r w:rsidR="00503DDB">
        <w:rPr>
          <w:i/>
        </w:rPr>
        <w:t>Lc</w:t>
      </w:r>
      <w:proofErr w:type="spellEnd"/>
      <w:r w:rsidR="00503DDB">
        <w:rPr>
          <w:i/>
        </w:rPr>
        <w:t xml:space="preserve"> 1, 48 ; </w:t>
      </w:r>
      <w:proofErr w:type="spellStart"/>
      <w:r w:rsidR="00503DDB">
        <w:rPr>
          <w:i/>
        </w:rPr>
        <w:t>Jn</w:t>
      </w:r>
      <w:proofErr w:type="spellEnd"/>
      <w:r w:rsidR="00503DDB">
        <w:rPr>
          <w:i/>
        </w:rPr>
        <w:t xml:space="preserve"> 1,</w:t>
      </w:r>
      <w:r w:rsidR="00085D18">
        <w:rPr>
          <w:i/>
        </w:rPr>
        <w:t xml:space="preserve"> 14.</w:t>
      </w:r>
    </w:p>
    <w:p w14:paraId="138E0946" w14:textId="77777777" w:rsidR="00F81A28" w:rsidRDefault="007E6460">
      <w:pPr>
        <w:numPr>
          <w:ilvl w:val="0"/>
          <w:numId w:val="1"/>
        </w:numPr>
        <w:ind w:left="426" w:firstLine="0"/>
        <w:rPr>
          <w:color w:val="000000"/>
        </w:rPr>
      </w:pPr>
      <w:r>
        <w:rPr>
          <w:i/>
          <w:color w:val="000000"/>
        </w:rPr>
        <w:t>Texte</w:t>
      </w:r>
      <w:r w:rsidR="00503DDB">
        <w:rPr>
          <w:i/>
          <w:color w:val="000000"/>
        </w:rPr>
        <w:t xml:space="preserve"> et musique</w:t>
      </w:r>
      <w:r>
        <w:rPr>
          <w:i/>
          <w:color w:val="000000"/>
        </w:rPr>
        <w:t xml:space="preserve"> : </w:t>
      </w:r>
      <w:r w:rsidR="00085D18">
        <w:rPr>
          <w:color w:val="000000"/>
        </w:rPr>
        <w:t xml:space="preserve">P. </w:t>
      </w:r>
      <w:r w:rsidR="00385609">
        <w:rPr>
          <w:color w:val="000000"/>
        </w:rPr>
        <w:t>Claude Rozier</w:t>
      </w:r>
      <w:r w:rsidR="00085D18">
        <w:rPr>
          <w:color w:val="000000"/>
        </w:rPr>
        <w:t xml:space="preserve">, </w:t>
      </w:r>
      <w:proofErr w:type="spellStart"/>
      <w:r w:rsidR="00085D18">
        <w:rPr>
          <w:color w:val="000000"/>
        </w:rPr>
        <w:t>s.m.</w:t>
      </w:r>
      <w:proofErr w:type="spellEnd"/>
      <w:r w:rsidR="00385609">
        <w:rPr>
          <w:color w:val="000000"/>
        </w:rPr>
        <w:t xml:space="preserve"> (1924-1997)</w:t>
      </w:r>
    </w:p>
    <w:p w14:paraId="4B066B44" w14:textId="77777777" w:rsidR="00F81A28" w:rsidRDefault="007E6460">
      <w:pPr>
        <w:numPr>
          <w:ilvl w:val="0"/>
          <w:numId w:val="1"/>
        </w:numPr>
        <w:ind w:left="426" w:firstLine="0"/>
        <w:rPr>
          <w:color w:val="000000"/>
        </w:rPr>
      </w:pPr>
      <w:r>
        <w:rPr>
          <w:i/>
          <w:color w:val="000000"/>
        </w:rPr>
        <w:t>Éditeur :</w:t>
      </w:r>
      <w:r>
        <w:rPr>
          <w:color w:val="000000"/>
        </w:rPr>
        <w:t xml:space="preserve"> </w:t>
      </w:r>
      <w:r w:rsidR="00385609">
        <w:rPr>
          <w:color w:val="000000"/>
        </w:rPr>
        <w:t>Le Seuil, 1946</w:t>
      </w:r>
      <w:r w:rsidR="00085D18">
        <w:rPr>
          <w:color w:val="000000"/>
        </w:rPr>
        <w:t>.</w:t>
      </w:r>
    </w:p>
    <w:p w14:paraId="6169DF92" w14:textId="3A75B528" w:rsidR="00C96A3D" w:rsidRPr="00C96A3D" w:rsidRDefault="007E6460" w:rsidP="00C96A3D">
      <w:pPr>
        <w:numPr>
          <w:ilvl w:val="0"/>
          <w:numId w:val="1"/>
        </w:numPr>
        <w:rPr>
          <w:i/>
          <w:color w:val="000000"/>
        </w:rPr>
      </w:pPr>
      <w:r>
        <w:rPr>
          <w:i/>
          <w:color w:val="000000"/>
        </w:rPr>
        <w:t>À écouter </w:t>
      </w:r>
      <w:r>
        <w:rPr>
          <w:color w:val="000000"/>
        </w:rPr>
        <w:t>:</w:t>
      </w:r>
      <w:r w:rsidR="00085D18">
        <w:t xml:space="preserve"> </w:t>
      </w:r>
      <w:hyperlink r:id="rId8" w:history="1">
        <w:r w:rsidR="00C96A3D" w:rsidRPr="003B09A4">
          <w:rPr>
            <w:rStyle w:val="Lienhypertexte"/>
            <w:i/>
          </w:rPr>
          <w:t>https://youtu.be/6PHi5_iIi8o</w:t>
        </w:r>
      </w:hyperlink>
      <w:r w:rsidR="00C96A3D" w:rsidRPr="00C96A3D">
        <w:rPr>
          <w:i/>
          <w:color w:val="000000"/>
        </w:rPr>
        <w:t xml:space="preserve">  </w:t>
      </w:r>
      <w:r w:rsidR="00C96A3D">
        <w:rPr>
          <w:i/>
          <w:color w:val="000000"/>
        </w:rPr>
        <w:t xml:space="preserve">(version </w:t>
      </w:r>
      <w:r w:rsidR="00964999">
        <w:rPr>
          <w:i/>
          <w:color w:val="000000"/>
        </w:rPr>
        <w:t xml:space="preserve">avec </w:t>
      </w:r>
      <w:r w:rsidR="00C96A3D">
        <w:rPr>
          <w:i/>
          <w:color w:val="000000"/>
        </w:rPr>
        <w:t>« Soyez béni Seigneur »)</w:t>
      </w:r>
    </w:p>
    <w:p w14:paraId="57FCAB8E" w14:textId="77777777" w:rsidR="00F81A28" w:rsidRDefault="00F81A28">
      <w:pPr>
        <w:rPr>
          <w:color w:val="000000"/>
        </w:rPr>
      </w:pPr>
    </w:p>
    <w:p w14:paraId="134E4C57" w14:textId="77777777" w:rsidR="00F81A28" w:rsidRDefault="007E6460">
      <w:pPr>
        <w:rPr>
          <w:color w:val="000000"/>
        </w:rPr>
      </w:pPr>
      <w:r>
        <w:rPr>
          <w:color w:val="000000"/>
        </w:rPr>
        <w:t>QR code du SECLI :</w:t>
      </w:r>
    </w:p>
    <w:p w14:paraId="3DD372B5" w14:textId="77777777" w:rsidR="00F81A28" w:rsidRDefault="00B900E6">
      <w:pPr>
        <w:ind w:left="720"/>
        <w:jc w:val="center"/>
        <w:rPr>
          <w:color w:val="000000"/>
        </w:rPr>
      </w:pPr>
      <w:r>
        <w:rPr>
          <w:noProof/>
          <w:color w:val="000000"/>
        </w:rPr>
        <w:drawing>
          <wp:inline distT="0" distB="0" distL="0" distR="0" wp14:anchorId="7928866E" wp14:editId="22BA13E9">
            <wp:extent cx="2266329" cy="226632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329" cy="2266329"/>
                    </a:xfrm>
                    <a:prstGeom prst="rect">
                      <a:avLst/>
                    </a:prstGeom>
                    <a:noFill/>
                    <a:ln>
                      <a:noFill/>
                    </a:ln>
                  </pic:spPr>
                </pic:pic>
              </a:graphicData>
            </a:graphic>
          </wp:inline>
        </w:drawing>
      </w:r>
    </w:p>
    <w:sectPr w:rsidR="00F81A28">
      <w:headerReference w:type="default" r:id="rId10"/>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5E56A" w14:textId="77777777" w:rsidR="00503DDB" w:rsidRDefault="00503DDB">
      <w:r>
        <w:separator/>
      </w:r>
    </w:p>
  </w:endnote>
  <w:endnote w:type="continuationSeparator" w:id="0">
    <w:p w14:paraId="56328680" w14:textId="77777777" w:rsidR="00503DDB" w:rsidRDefault="0050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AA57D" w14:textId="77777777" w:rsidR="00503DDB" w:rsidRDefault="00503DDB">
      <w:r>
        <w:separator/>
      </w:r>
    </w:p>
  </w:footnote>
  <w:footnote w:type="continuationSeparator" w:id="0">
    <w:p w14:paraId="3662A5FB" w14:textId="77777777" w:rsidR="00503DDB" w:rsidRDefault="00503DDB">
      <w:r>
        <w:continuationSeparator/>
      </w:r>
    </w:p>
  </w:footnote>
  <w:footnote w:id="1">
    <w:p w14:paraId="0B150816" w14:textId="77777777" w:rsidR="00503DDB" w:rsidRDefault="00503DDB" w:rsidP="00503DDB">
      <w:pPr>
        <w:pBdr>
          <w:top w:val="nil"/>
          <w:left w:val="nil"/>
          <w:bottom w:val="nil"/>
          <w:right w:val="nil"/>
          <w:between w:val="nil"/>
        </w:pBdr>
        <w:jc w:val="both"/>
        <w:rPr>
          <w:i/>
          <w:color w:val="000000"/>
          <w:sz w:val="18"/>
          <w:szCs w:val="18"/>
        </w:rPr>
      </w:pPr>
      <w:r>
        <w:rPr>
          <w:vertAlign w:val="superscript"/>
        </w:rPr>
        <w:footnoteRef/>
      </w:r>
      <w:r>
        <w:rPr>
          <w:color w:val="000000"/>
          <w:sz w:val="18"/>
          <w:szCs w:val="18"/>
        </w:rPr>
        <w:t xml:space="preserve"> R.P. Joseph G</w:t>
      </w:r>
      <w:r>
        <w:rPr>
          <w:smallCaps/>
          <w:color w:val="000000"/>
          <w:sz w:val="18"/>
          <w:szCs w:val="18"/>
        </w:rPr>
        <w:t>elineau</w:t>
      </w:r>
      <w:r>
        <w:rPr>
          <w:color w:val="000000"/>
          <w:sz w:val="18"/>
          <w:szCs w:val="18"/>
        </w:rPr>
        <w:t xml:space="preserve">, </w:t>
      </w:r>
      <w:proofErr w:type="spellStart"/>
      <w:r>
        <w:rPr>
          <w:color w:val="000000"/>
          <w:sz w:val="18"/>
          <w:szCs w:val="18"/>
        </w:rPr>
        <w:t>s.j</w:t>
      </w:r>
      <w:proofErr w:type="spellEnd"/>
      <w:r>
        <w:rPr>
          <w:color w:val="000000"/>
          <w:sz w:val="18"/>
          <w:szCs w:val="18"/>
        </w:rPr>
        <w:t xml:space="preserve">., </w:t>
      </w:r>
      <w:r>
        <w:rPr>
          <w:i/>
          <w:color w:val="000000"/>
          <w:sz w:val="18"/>
          <w:szCs w:val="18"/>
        </w:rPr>
        <w:t>Les chants de la messe dans leur enracinement rituel</w:t>
      </w:r>
      <w:r>
        <w:rPr>
          <w:color w:val="000000"/>
          <w:sz w:val="18"/>
          <w:szCs w:val="18"/>
        </w:rPr>
        <w:t>, Paris, Éditions du Cerf, 2001, p.</w:t>
      </w:r>
      <w:r>
        <w:rPr>
          <w:color w:val="000000"/>
          <w:sz w:val="18"/>
          <w:szCs w:val="18"/>
          <w:lang w:val="el-GR"/>
        </w:rPr>
        <w:t> </w:t>
      </w:r>
      <w:r>
        <w:rPr>
          <w:color w:val="000000"/>
          <w:sz w:val="18"/>
          <w:szCs w:val="18"/>
        </w:rPr>
        <w:t>12.</w:t>
      </w:r>
    </w:p>
  </w:footnote>
  <w:footnote w:id="2">
    <w:p w14:paraId="40E3F33B" w14:textId="77777777" w:rsidR="00503DDB" w:rsidRDefault="00503DDB" w:rsidP="00503DDB">
      <w:pPr>
        <w:jc w:val="both"/>
        <w:rPr>
          <w:sz w:val="18"/>
          <w:szCs w:val="18"/>
        </w:rPr>
      </w:pPr>
      <w:r>
        <w:rPr>
          <w:vertAlign w:val="superscript"/>
        </w:rPr>
        <w:footnoteRef/>
      </w:r>
      <w:r>
        <w:rPr>
          <w:sz w:val="18"/>
          <w:szCs w:val="18"/>
        </w:rPr>
        <w:t xml:space="preserve"> C</w:t>
      </w:r>
      <w:r>
        <w:rPr>
          <w:smallCaps/>
          <w:sz w:val="18"/>
          <w:szCs w:val="18"/>
        </w:rPr>
        <w:t xml:space="preserve">ongrégation pour le culte divin et la discipline des sacrements, </w:t>
      </w:r>
      <w:hyperlink r:id="rId1">
        <w:r>
          <w:rPr>
            <w:i/>
            <w:color w:val="1155CC"/>
            <w:sz w:val="18"/>
            <w:szCs w:val="18"/>
            <w:u w:val="single"/>
          </w:rPr>
          <w:t>Directoire sur la piété populaire et la liturgie. Principes et orientations</w:t>
        </w:r>
      </w:hyperlink>
      <w:r>
        <w:rPr>
          <w:sz w:val="18"/>
          <w:szCs w:val="18"/>
        </w:rPr>
        <w:t>, « La Vierge Marie dans le temps de l’Avent</w:t>
      </w:r>
      <w:r>
        <w:rPr>
          <w:sz w:val="18"/>
          <w:szCs w:val="18"/>
          <w:highlight w:val="white"/>
        </w:rPr>
        <w:t> </w:t>
      </w:r>
      <w:r>
        <w:rPr>
          <w:sz w:val="18"/>
          <w:szCs w:val="18"/>
        </w:rPr>
        <w:t>», n</w:t>
      </w:r>
      <w:r>
        <w:rPr>
          <w:sz w:val="18"/>
          <w:szCs w:val="18"/>
          <w:vertAlign w:val="superscript"/>
        </w:rPr>
        <w:t>os</w:t>
      </w:r>
      <w:r>
        <w:rPr>
          <w:sz w:val="18"/>
          <w:szCs w:val="18"/>
        </w:rPr>
        <w:t> 101-102 : « </w:t>
      </w:r>
      <w:r>
        <w:rPr>
          <w:sz w:val="18"/>
          <w:szCs w:val="18"/>
          <w:highlight w:val="white"/>
        </w:rPr>
        <w:t>Durant le temps de l’Avent, la Liturgie célèbre fréquemment et d’une manière particulière la bienheureuse Vierge Marie (...). Il reste que la valorisation de l’Avent, qui est "un moment particulièrement adapté au culte de la Mère du Seigneur" ne signifie pas pour autant que ce temps liturgique doive être présenté comme un "mois de Marie". </w:t>
      </w:r>
      <w:r>
        <w:rPr>
          <w:sz w:val="18"/>
          <w:szCs w:val="18"/>
        </w:rPr>
        <w:t>» (</w:t>
      </w:r>
      <w:proofErr w:type="gramStart"/>
      <w:r>
        <w:rPr>
          <w:sz w:val="18"/>
          <w:szCs w:val="18"/>
        </w:rPr>
        <w:t>n</w:t>
      </w:r>
      <w:proofErr w:type="gramEnd"/>
      <w:r>
        <w:rPr>
          <w:sz w:val="18"/>
          <w:szCs w:val="18"/>
        </w:rPr>
        <w:t>° 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23B9B" w14:textId="77777777" w:rsidR="00503DDB" w:rsidRDefault="00503DDB">
    <w:pPr>
      <w:rPr>
        <w:i/>
      </w:rPr>
    </w:pPr>
    <w:r>
      <w:rPr>
        <w:i/>
      </w:rPr>
      <w:t>Discerner pour mieux choisir...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093E"/>
    <w:multiLevelType w:val="multilevel"/>
    <w:tmpl w:val="9AD42A5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24CB4774"/>
    <w:multiLevelType w:val="multilevel"/>
    <w:tmpl w:val="FFD08372"/>
    <w:lvl w:ilvl="0">
      <w:start w:val="1"/>
      <w:numFmt w:val="bullet"/>
      <w:lvlText w:val="⮚"/>
      <w:lvlJc w:val="left"/>
      <w:pPr>
        <w:ind w:left="738" w:hanging="360"/>
      </w:pPr>
      <w:rPr>
        <w:rFonts w:ascii="Noto Sans" w:eastAsia="Noto Sans" w:hAnsi="Noto Sans" w:cs="Noto Sans"/>
        <w:u w:val="none"/>
      </w:rPr>
    </w:lvl>
    <w:lvl w:ilvl="1">
      <w:start w:val="1"/>
      <w:numFmt w:val="lowerLetter"/>
      <w:lvlText w:val="%2."/>
      <w:lvlJc w:val="left"/>
      <w:pPr>
        <w:ind w:left="1458" w:hanging="360"/>
      </w:pPr>
      <w:rPr>
        <w:u w:val="none"/>
      </w:rPr>
    </w:lvl>
    <w:lvl w:ilvl="2">
      <w:start w:val="1"/>
      <w:numFmt w:val="lowerRoman"/>
      <w:lvlText w:val="%3."/>
      <w:lvlJc w:val="right"/>
      <w:pPr>
        <w:ind w:left="2178" w:hanging="360"/>
      </w:pPr>
      <w:rPr>
        <w:u w:val="none"/>
      </w:rPr>
    </w:lvl>
    <w:lvl w:ilvl="3">
      <w:start w:val="1"/>
      <w:numFmt w:val="decimal"/>
      <w:lvlText w:val="%4."/>
      <w:lvlJc w:val="left"/>
      <w:pPr>
        <w:ind w:left="2898" w:hanging="360"/>
      </w:pPr>
      <w:rPr>
        <w:u w:val="none"/>
      </w:rPr>
    </w:lvl>
    <w:lvl w:ilvl="4">
      <w:start w:val="1"/>
      <w:numFmt w:val="lowerLetter"/>
      <w:lvlText w:val="%5."/>
      <w:lvlJc w:val="left"/>
      <w:pPr>
        <w:ind w:left="3618" w:hanging="360"/>
      </w:pPr>
      <w:rPr>
        <w:u w:val="none"/>
      </w:rPr>
    </w:lvl>
    <w:lvl w:ilvl="5">
      <w:start w:val="1"/>
      <w:numFmt w:val="lowerRoman"/>
      <w:lvlText w:val="%6."/>
      <w:lvlJc w:val="right"/>
      <w:pPr>
        <w:ind w:left="4338" w:hanging="360"/>
      </w:pPr>
      <w:rPr>
        <w:u w:val="none"/>
      </w:rPr>
    </w:lvl>
    <w:lvl w:ilvl="6">
      <w:start w:val="1"/>
      <w:numFmt w:val="decimal"/>
      <w:lvlText w:val="%7."/>
      <w:lvlJc w:val="left"/>
      <w:pPr>
        <w:ind w:left="5058" w:hanging="360"/>
      </w:pPr>
      <w:rPr>
        <w:u w:val="none"/>
      </w:rPr>
    </w:lvl>
    <w:lvl w:ilvl="7">
      <w:start w:val="1"/>
      <w:numFmt w:val="lowerLetter"/>
      <w:lvlText w:val="%8."/>
      <w:lvlJc w:val="left"/>
      <w:pPr>
        <w:ind w:left="5778" w:hanging="360"/>
      </w:pPr>
      <w:rPr>
        <w:u w:val="none"/>
      </w:rPr>
    </w:lvl>
    <w:lvl w:ilvl="8">
      <w:start w:val="1"/>
      <w:numFmt w:val="lowerRoman"/>
      <w:lvlText w:val="%9."/>
      <w:lvlJc w:val="right"/>
      <w:pPr>
        <w:ind w:left="6498" w:hanging="360"/>
      </w:pPr>
      <w:rPr>
        <w:u w:val="none"/>
      </w:rPr>
    </w:lvl>
  </w:abstractNum>
  <w:abstractNum w:abstractNumId="2" w15:restartNumberingAfterBreak="0">
    <w:nsid w:val="27E66278"/>
    <w:multiLevelType w:val="multilevel"/>
    <w:tmpl w:val="AD76FBD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A7602C7"/>
    <w:multiLevelType w:val="multilevel"/>
    <w:tmpl w:val="9802253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626B7A63"/>
    <w:multiLevelType w:val="multilevel"/>
    <w:tmpl w:val="E856BEE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65BF17AD"/>
    <w:multiLevelType w:val="multilevel"/>
    <w:tmpl w:val="DF28A2A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28"/>
    <w:rsid w:val="00085D18"/>
    <w:rsid w:val="00385609"/>
    <w:rsid w:val="003B6F47"/>
    <w:rsid w:val="00503DDB"/>
    <w:rsid w:val="007E6460"/>
    <w:rsid w:val="00964999"/>
    <w:rsid w:val="00A077C0"/>
    <w:rsid w:val="00B900E6"/>
    <w:rsid w:val="00C96A3D"/>
    <w:rsid w:val="00ED7C03"/>
    <w:rsid w:val="00EF5107"/>
    <w:rsid w:val="00F81A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F6BE"/>
  <w15:docId w15:val="{0D2F37DC-A4B7-475B-A774-47502660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363"/>
  </w:style>
  <w:style w:type="paragraph" w:styleId="Titre1">
    <w:name w:val="heading 1"/>
    <w:basedOn w:val="Normal1"/>
    <w:next w:val="Normal1"/>
    <w:uiPriority w:val="9"/>
    <w:qFormat/>
    <w:rsid w:val="00F54363"/>
    <w:pPr>
      <w:keepNext/>
      <w:keepLines/>
      <w:spacing w:before="480" w:after="120"/>
      <w:outlineLvl w:val="0"/>
    </w:pPr>
    <w:rPr>
      <w:b/>
      <w:sz w:val="48"/>
      <w:szCs w:val="48"/>
    </w:rPr>
  </w:style>
  <w:style w:type="paragraph" w:styleId="Titre2">
    <w:name w:val="heading 2"/>
    <w:basedOn w:val="Normal1"/>
    <w:next w:val="Normal1"/>
    <w:uiPriority w:val="9"/>
    <w:semiHidden/>
    <w:unhideWhenUsed/>
    <w:qFormat/>
    <w:rsid w:val="00F54363"/>
    <w:pPr>
      <w:keepNext/>
      <w:keepLines/>
      <w:spacing w:before="360" w:after="80"/>
      <w:outlineLvl w:val="1"/>
    </w:pPr>
    <w:rPr>
      <w:b/>
      <w:sz w:val="36"/>
      <w:szCs w:val="36"/>
    </w:rPr>
  </w:style>
  <w:style w:type="paragraph" w:styleId="Titre3">
    <w:name w:val="heading 3"/>
    <w:basedOn w:val="Normal1"/>
    <w:next w:val="Normal1"/>
    <w:uiPriority w:val="9"/>
    <w:semiHidden/>
    <w:unhideWhenUsed/>
    <w:qFormat/>
    <w:rsid w:val="00F54363"/>
    <w:pPr>
      <w:keepNext/>
      <w:keepLines/>
      <w:spacing w:before="280" w:after="80"/>
      <w:outlineLvl w:val="2"/>
    </w:pPr>
    <w:rPr>
      <w:b/>
      <w:sz w:val="28"/>
      <w:szCs w:val="28"/>
    </w:rPr>
  </w:style>
  <w:style w:type="paragraph" w:styleId="Titre4">
    <w:name w:val="heading 4"/>
    <w:basedOn w:val="Normal1"/>
    <w:next w:val="Normal1"/>
    <w:uiPriority w:val="9"/>
    <w:semiHidden/>
    <w:unhideWhenUsed/>
    <w:qFormat/>
    <w:rsid w:val="00F54363"/>
    <w:pPr>
      <w:keepNext/>
      <w:keepLines/>
      <w:spacing w:before="240" w:after="40"/>
      <w:outlineLvl w:val="3"/>
    </w:pPr>
    <w:rPr>
      <w:b/>
    </w:rPr>
  </w:style>
  <w:style w:type="paragraph" w:styleId="Titre5">
    <w:name w:val="heading 5"/>
    <w:basedOn w:val="Normal1"/>
    <w:next w:val="Normal1"/>
    <w:uiPriority w:val="9"/>
    <w:semiHidden/>
    <w:unhideWhenUsed/>
    <w:qFormat/>
    <w:rsid w:val="00F54363"/>
    <w:pPr>
      <w:keepNext/>
      <w:keepLines/>
      <w:spacing w:before="220" w:after="40"/>
      <w:outlineLvl w:val="4"/>
    </w:pPr>
    <w:rPr>
      <w:b/>
      <w:sz w:val="22"/>
      <w:szCs w:val="22"/>
    </w:rPr>
  </w:style>
  <w:style w:type="paragraph" w:styleId="Titre6">
    <w:name w:val="heading 6"/>
    <w:basedOn w:val="Normal1"/>
    <w:next w:val="Normal1"/>
    <w:uiPriority w:val="9"/>
    <w:semiHidden/>
    <w:unhideWhenUsed/>
    <w:qFormat/>
    <w:rsid w:val="00F54363"/>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0">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uiPriority w:val="10"/>
    <w:qFormat/>
    <w:rsid w:val="00F54363"/>
    <w:pPr>
      <w:keepNext/>
      <w:keepLines/>
      <w:spacing w:before="480" w:after="120"/>
    </w:pPr>
    <w:rPr>
      <w:b/>
      <w:sz w:val="72"/>
      <w:szCs w:val="72"/>
    </w:rPr>
  </w:style>
  <w:style w:type="paragraph" w:customStyle="1" w:styleId="Normal2">
    <w:name w:val="Normal2"/>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1">
    <w:name w:val="Normal1"/>
    <w:rsid w:val="00F54363"/>
  </w:style>
  <w:style w:type="table" w:customStyle="1" w:styleId="TableNormal2">
    <w:name w:val="Table Normal"/>
    <w:rsid w:val="00F54363"/>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752A66"/>
    <w:rPr>
      <w:rFonts w:ascii="Tahoma" w:hAnsi="Tahoma" w:cs="Tahoma"/>
      <w:sz w:val="16"/>
      <w:szCs w:val="16"/>
    </w:rPr>
  </w:style>
  <w:style w:type="character" w:customStyle="1" w:styleId="TextedebullesCar">
    <w:name w:val="Texte de bulles Car"/>
    <w:basedOn w:val="Policepardfaut"/>
    <w:link w:val="Textedebulles"/>
    <w:uiPriority w:val="99"/>
    <w:semiHidden/>
    <w:rsid w:val="00752A66"/>
    <w:rPr>
      <w:rFonts w:ascii="Tahoma" w:hAnsi="Tahoma" w:cs="Tahoma"/>
      <w:sz w:val="16"/>
      <w:szCs w:val="16"/>
    </w:rPr>
  </w:style>
  <w:style w:type="paragraph" w:styleId="Paragraphedeliste">
    <w:name w:val="List Paragraph"/>
    <w:basedOn w:val="Normal"/>
    <w:uiPriority w:val="34"/>
    <w:qFormat/>
    <w:rsid w:val="00752A66"/>
    <w:pPr>
      <w:ind w:left="720"/>
      <w:contextualSpacing/>
    </w:pPr>
  </w:style>
  <w:style w:type="paragraph" w:styleId="NormalWeb">
    <w:name w:val="Normal (Web)"/>
    <w:basedOn w:val="Normal"/>
    <w:uiPriority w:val="99"/>
    <w:unhideWhenUsed/>
    <w:rsid w:val="00EF7D67"/>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DB494B"/>
    <w:rPr>
      <w:sz w:val="16"/>
      <w:szCs w:val="16"/>
    </w:rPr>
  </w:style>
  <w:style w:type="paragraph" w:styleId="Commentaire">
    <w:name w:val="annotation text"/>
    <w:basedOn w:val="Normal"/>
    <w:link w:val="CommentaireCar"/>
    <w:uiPriority w:val="99"/>
    <w:semiHidden/>
    <w:unhideWhenUsed/>
    <w:rsid w:val="00DB494B"/>
    <w:rPr>
      <w:sz w:val="20"/>
      <w:szCs w:val="20"/>
    </w:rPr>
  </w:style>
  <w:style w:type="character" w:customStyle="1" w:styleId="CommentaireCar">
    <w:name w:val="Commentaire Car"/>
    <w:basedOn w:val="Policepardfaut"/>
    <w:link w:val="Commentaire"/>
    <w:uiPriority w:val="99"/>
    <w:semiHidden/>
    <w:rsid w:val="00DB494B"/>
    <w:rPr>
      <w:sz w:val="20"/>
      <w:szCs w:val="20"/>
    </w:rPr>
  </w:style>
  <w:style w:type="paragraph" w:styleId="Objetducommentaire">
    <w:name w:val="annotation subject"/>
    <w:basedOn w:val="Commentaire"/>
    <w:next w:val="Commentaire"/>
    <w:link w:val="ObjetducommentaireCar"/>
    <w:uiPriority w:val="99"/>
    <w:semiHidden/>
    <w:unhideWhenUsed/>
    <w:rsid w:val="00DB494B"/>
    <w:rPr>
      <w:b/>
      <w:bCs/>
    </w:rPr>
  </w:style>
  <w:style w:type="character" w:customStyle="1" w:styleId="ObjetducommentaireCar">
    <w:name w:val="Objet du commentaire Car"/>
    <w:basedOn w:val="CommentaireCar"/>
    <w:link w:val="Objetducommentaire"/>
    <w:uiPriority w:val="99"/>
    <w:semiHidden/>
    <w:rsid w:val="00DB494B"/>
    <w:rPr>
      <w:b/>
      <w:bCs/>
      <w:sz w:val="20"/>
      <w:szCs w:val="20"/>
    </w:rPr>
  </w:style>
  <w:style w:type="character" w:styleId="Lienhypertexte">
    <w:name w:val="Hyperlink"/>
    <w:basedOn w:val="Policepardfaut"/>
    <w:uiPriority w:val="99"/>
    <w:unhideWhenUsed/>
    <w:rsid w:val="00871C84"/>
    <w:rPr>
      <w:color w:val="0000FF" w:themeColor="hyperlink"/>
      <w:u w:val="single"/>
    </w:rPr>
  </w:style>
  <w:style w:type="character" w:styleId="Lienhypertextesuivivisit">
    <w:name w:val="FollowedHyperlink"/>
    <w:basedOn w:val="Policepardfaut"/>
    <w:uiPriority w:val="99"/>
    <w:semiHidden/>
    <w:unhideWhenUsed/>
    <w:rsid w:val="00871C84"/>
    <w:rPr>
      <w:color w:val="800080" w:themeColor="followedHyperlink"/>
      <w:u w:val="single"/>
    </w:rPr>
  </w:style>
  <w:style w:type="character" w:customStyle="1" w:styleId="apple-tab-span">
    <w:name w:val="apple-tab-span"/>
    <w:basedOn w:val="Policepardfaut"/>
    <w:rsid w:val="001B682F"/>
  </w:style>
  <w:style w:type="character" w:customStyle="1" w:styleId="Mentionnonrsolue1">
    <w:name w:val="Mention non résolue1"/>
    <w:basedOn w:val="Policepardfaut"/>
    <w:uiPriority w:val="99"/>
    <w:semiHidden/>
    <w:unhideWhenUsed/>
    <w:rsid w:val="00A10D49"/>
    <w:rPr>
      <w:color w:val="605E5C"/>
      <w:shd w:val="clear" w:color="auto" w:fill="E1DFDD"/>
    </w:rPr>
  </w:style>
  <w:style w:type="paragraph" w:styleId="Notedebasdepage">
    <w:name w:val="footnote text"/>
    <w:basedOn w:val="Normal"/>
    <w:link w:val="NotedebasdepageCar"/>
    <w:uiPriority w:val="99"/>
    <w:unhideWhenUsed/>
    <w:rsid w:val="000D3D75"/>
    <w:rPr>
      <w:rFonts w:asciiTheme="minorHAnsi" w:eastAsiaTheme="minorEastAsia" w:hAnsiTheme="minorHAnsi" w:cstheme="minorBidi"/>
    </w:rPr>
  </w:style>
  <w:style w:type="character" w:customStyle="1" w:styleId="NotedebasdepageCar">
    <w:name w:val="Note de bas de page Car"/>
    <w:basedOn w:val="Policepardfaut"/>
    <w:link w:val="Notedebasdepage"/>
    <w:uiPriority w:val="99"/>
    <w:rsid w:val="000D3D75"/>
    <w:rPr>
      <w:rFonts w:asciiTheme="minorHAnsi" w:eastAsiaTheme="minorEastAsia" w:hAnsiTheme="minorHAnsi" w:cstheme="minorBidi"/>
    </w:rPr>
  </w:style>
  <w:style w:type="character" w:styleId="Appelnotedebasdep">
    <w:name w:val="footnote reference"/>
    <w:basedOn w:val="Policepardfaut"/>
    <w:uiPriority w:val="99"/>
    <w:unhideWhenUsed/>
    <w:rsid w:val="000D3D75"/>
    <w:rPr>
      <w:vertAlign w:val="superscript"/>
    </w:rPr>
  </w:style>
  <w:style w:type="character" w:styleId="Mentionnonrsolue">
    <w:name w:val="Unresolved Mention"/>
    <w:basedOn w:val="Policepardfaut"/>
    <w:uiPriority w:val="99"/>
    <w:semiHidden/>
    <w:unhideWhenUsed/>
    <w:rsid w:val="00C96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703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6PHi5_iIi8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atican.va/roman_curia/congregations/ccdds/documents/rc_con_ccdds_doc_20020513_vers-direttorio_fr.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9/oqf4CbbuG44SiO4Nxrltcx5g==">AMUW2mUXwuVAokKypJWLsf2ZGnB1PX7jraOYnzABQin7Ud2NgjZjyVhiPc3AdvS6J03x3+tvSXvZcywOYPq61CQUMqE6HjqacBOaKsbjA4D860mh6b91s+TLqoA/BmB80CNeymLoyJLvxN7GWRnyfD4S41KGMxyZWTxySxAD7/raSLQmgmrfhTo=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2725</Characters>
  <Application>Microsoft Office Word</Application>
  <DocSecurity>4</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François-Xavier Ledoux</dc:creator>
  <cp:lastModifiedBy>Benoit Baumgartner (SNPLS/M.)</cp:lastModifiedBy>
  <cp:revision>2</cp:revision>
  <dcterms:created xsi:type="dcterms:W3CDTF">2022-11-29T15:49:00Z</dcterms:created>
  <dcterms:modified xsi:type="dcterms:W3CDTF">2022-11-29T15:49:00Z</dcterms:modified>
</cp:coreProperties>
</file>