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DB76" w14:textId="77777777" w:rsidR="00A31806" w:rsidRDefault="00A31806">
      <w:pPr>
        <w:rPr>
          <w:b/>
          <w:i/>
        </w:rPr>
      </w:pPr>
    </w:p>
    <w:p w14:paraId="5B28C4D8" w14:textId="77777777" w:rsidR="00F81A28" w:rsidRDefault="007E6460">
      <w:pPr>
        <w:jc w:val="center"/>
        <w:rPr>
          <w:b/>
          <w:i/>
          <w:sz w:val="28"/>
          <w:szCs w:val="28"/>
        </w:rPr>
      </w:pPr>
      <w:r>
        <w:rPr>
          <w:b/>
          <w:i/>
          <w:sz w:val="28"/>
          <w:szCs w:val="28"/>
        </w:rPr>
        <w:t>Un rite, un chant</w:t>
      </w:r>
    </w:p>
    <w:p w14:paraId="46146723" w14:textId="77777777" w:rsidR="00F81A28" w:rsidRPr="00693358" w:rsidRDefault="00F81A28">
      <w:pPr>
        <w:rPr>
          <w:sz w:val="20"/>
        </w:rPr>
      </w:pPr>
    </w:p>
    <w:p w14:paraId="17C58D4C" w14:textId="56D2A8AA" w:rsidR="00F81A28" w:rsidRDefault="00F4550B">
      <w:pPr>
        <w:jc w:val="center"/>
        <w:rPr>
          <w:b/>
        </w:rPr>
      </w:pPr>
      <w:r>
        <w:rPr>
          <w:b/>
        </w:rPr>
        <w:t>Tu as porté celui qui porte tout</w:t>
      </w:r>
    </w:p>
    <w:p w14:paraId="10CA5F73" w14:textId="3395F9D2" w:rsidR="00F81A28" w:rsidRDefault="007E6460">
      <w:pPr>
        <w:jc w:val="center"/>
        <w:rPr>
          <w:b/>
        </w:rPr>
      </w:pPr>
      <w:r>
        <w:rPr>
          <w:b/>
        </w:rPr>
        <w:t>(</w:t>
      </w:r>
      <w:r w:rsidR="00F4550B">
        <w:rPr>
          <w:b/>
        </w:rPr>
        <w:t>V44-77</w:t>
      </w:r>
      <w:r>
        <w:rPr>
          <w:b/>
        </w:rPr>
        <w:t>)</w:t>
      </w:r>
    </w:p>
    <w:p w14:paraId="3EBC7327" w14:textId="1B9DC7BB" w:rsidR="00F81A28" w:rsidRDefault="00F81A28">
      <w:pPr>
        <w:jc w:val="center"/>
        <w:rPr>
          <w:b/>
          <w:i/>
        </w:rPr>
      </w:pPr>
      <w:bookmarkStart w:id="0" w:name="_heading=h.30j0zll" w:colFirst="0" w:colLast="0"/>
      <w:bookmarkEnd w:id="0"/>
    </w:p>
    <w:p w14:paraId="5E9A77BB" w14:textId="77777777" w:rsidR="00F81A28" w:rsidRPr="00693358" w:rsidRDefault="00F81A28">
      <w:pPr>
        <w:rPr>
          <w:b/>
          <w:i/>
          <w:sz w:val="20"/>
        </w:rPr>
      </w:pPr>
    </w:p>
    <w:p w14:paraId="66F03598" w14:textId="77777777" w:rsidR="00F81A28" w:rsidRDefault="007E6460">
      <w:pPr>
        <w:rPr>
          <w:b/>
          <w:i/>
        </w:rPr>
      </w:pPr>
      <w:r>
        <w:rPr>
          <w:b/>
          <w:i/>
        </w:rPr>
        <w:t>Critères de choix</w:t>
      </w:r>
    </w:p>
    <w:p w14:paraId="2845014E" w14:textId="77777777" w:rsidR="00F81A28" w:rsidRPr="00693358" w:rsidRDefault="00F81A28">
      <w:pPr>
        <w:rPr>
          <w:sz w:val="20"/>
        </w:rPr>
      </w:pPr>
    </w:p>
    <w:p w14:paraId="7A4FD530" w14:textId="77777777" w:rsidR="00F81A28" w:rsidRDefault="007E6460">
      <w:pPr>
        <w:spacing w:after="120"/>
        <w:rPr>
          <w:b/>
          <w:smallCaps/>
          <w:sz w:val="28"/>
          <w:szCs w:val="28"/>
        </w:rPr>
      </w:pPr>
      <w:r>
        <w:rPr>
          <w:b/>
          <w:smallCaps/>
          <w:sz w:val="28"/>
          <w:szCs w:val="28"/>
        </w:rPr>
        <w:t>Rite et assemblée</w:t>
      </w:r>
    </w:p>
    <w:p w14:paraId="63B29A0E" w14:textId="77777777" w:rsidR="00F81A28" w:rsidRDefault="007E6460" w:rsidP="00B04F1E">
      <w:pPr>
        <w:pBdr>
          <w:top w:val="single" w:sz="4" w:space="1" w:color="000000"/>
          <w:left w:val="single" w:sz="4" w:space="0" w:color="000000"/>
          <w:bottom w:val="single" w:sz="4" w:space="1" w:color="000000"/>
          <w:right w:val="single" w:sz="4" w:space="4" w:color="000000"/>
        </w:pBdr>
        <w:jc w:val="both"/>
        <w:rPr>
          <w:i/>
        </w:rPr>
      </w:pPr>
      <w:r>
        <w:rPr>
          <w:i/>
        </w:rPr>
        <w:t xml:space="preserve">« Le couple </w:t>
      </w:r>
      <w:r>
        <w:t>rite-assemblée</w:t>
      </w:r>
      <w:r>
        <w:rPr>
          <w:i/>
        </w:rPr>
        <w:t xml:space="preserve"> est sous-jacent au couple texte-musique mais il est plus radical, car le rite est "pour" l’assemblée mais il n’existe que "par" l’assemblée</w:t>
      </w:r>
      <w:r>
        <w:rPr>
          <w:vertAlign w:val="superscript"/>
        </w:rPr>
        <w:footnoteReference w:id="1"/>
      </w:r>
      <w:r>
        <w:rPr>
          <w:i/>
        </w:rPr>
        <w:t>. »</w:t>
      </w:r>
    </w:p>
    <w:p w14:paraId="55CD0298" w14:textId="77777777" w:rsidR="00F81A28" w:rsidRDefault="00F81A28"/>
    <w:p w14:paraId="34E9768F" w14:textId="263BD43E" w:rsidR="00F81A28" w:rsidRPr="00B900E6" w:rsidRDefault="007E6460" w:rsidP="00B900E6">
      <w:pPr>
        <w:numPr>
          <w:ilvl w:val="0"/>
          <w:numId w:val="4"/>
        </w:numPr>
        <w:pBdr>
          <w:top w:val="nil"/>
          <w:left w:val="nil"/>
          <w:bottom w:val="nil"/>
          <w:right w:val="nil"/>
          <w:between w:val="nil"/>
        </w:pBdr>
        <w:spacing w:after="120"/>
        <w:ind w:left="425" w:hanging="357"/>
        <w:rPr>
          <w:b/>
          <w:color w:val="000000"/>
        </w:rPr>
      </w:pPr>
      <w:r>
        <w:rPr>
          <w:b/>
          <w:color w:val="000000"/>
        </w:rPr>
        <w:t>Convenance liturgique</w:t>
      </w:r>
      <w:bookmarkStart w:id="1" w:name="_heading=h.gjdgxs" w:colFirst="0" w:colLast="0"/>
      <w:bookmarkEnd w:id="1"/>
    </w:p>
    <w:p w14:paraId="7B7610A8" w14:textId="6E211104" w:rsidR="00F81A28" w:rsidRDefault="007E6460">
      <w:pPr>
        <w:numPr>
          <w:ilvl w:val="0"/>
          <w:numId w:val="6"/>
        </w:numPr>
        <w:spacing w:after="120"/>
        <w:ind w:left="714" w:hanging="357"/>
      </w:pPr>
      <w:bookmarkStart w:id="2" w:name="_heading=h.690zqv702jb4" w:colFirst="0" w:colLast="0"/>
      <w:bookmarkEnd w:id="2"/>
      <w:r>
        <w:rPr>
          <w:i/>
        </w:rPr>
        <w:t>Pour quel temps liturgique ?</w:t>
      </w:r>
      <w:r>
        <w:t xml:space="preserve"> </w:t>
      </w:r>
      <w:r w:rsidR="00E8278B">
        <w:t>Avent-Noël</w:t>
      </w:r>
    </w:p>
    <w:p w14:paraId="7B69EC85" w14:textId="025B343A" w:rsidR="00F81A28" w:rsidRDefault="007E6460">
      <w:pPr>
        <w:spacing w:after="120"/>
        <w:ind w:left="709"/>
      </w:pPr>
      <w:bookmarkStart w:id="3" w:name="_heading=h.1fob9te" w:colFirst="0" w:colLast="0"/>
      <w:bookmarkEnd w:id="3"/>
      <w:r>
        <w:t xml:space="preserve">Si ce chant </w:t>
      </w:r>
      <w:r w:rsidR="00E8278B">
        <w:t>peut convenir à certaines</w:t>
      </w:r>
      <w:r>
        <w:t xml:space="preserve"> fêtes mariales</w:t>
      </w:r>
      <w:r w:rsidR="00E8278B">
        <w:t>,</w:t>
      </w:r>
      <w:r>
        <w:t xml:space="preserve"> </w:t>
      </w:r>
      <w:r w:rsidR="00E8278B">
        <w:t xml:space="preserve">il sera </w:t>
      </w:r>
      <w:r w:rsidR="009E61D1">
        <w:t xml:space="preserve">aussi </w:t>
      </w:r>
      <w:r w:rsidR="00E8278B">
        <w:t>particulièrement adapté aux temps de l’Avent</w:t>
      </w:r>
      <w:r w:rsidR="009E61D1">
        <w:rPr>
          <w:highlight w:val="white"/>
          <w:vertAlign w:val="superscript"/>
        </w:rPr>
        <w:footnoteReference w:id="2"/>
      </w:r>
      <w:r w:rsidR="00E8278B">
        <w:t xml:space="preserve"> et Noël</w:t>
      </w:r>
      <w:r w:rsidR="007C6A88">
        <w:t>, car il chante Marie</w:t>
      </w:r>
      <w:r w:rsidR="004613F6">
        <w:t xml:space="preserve">, </w:t>
      </w:r>
      <w:r w:rsidR="007C6A88">
        <w:t xml:space="preserve">à la lumière de l’Annonciation et de l’Incarnation du Seigneur </w:t>
      </w:r>
      <w:r w:rsidR="004613F6">
        <w:t>(couplets 1 à 3)</w:t>
      </w:r>
      <w:r w:rsidR="007C6A88">
        <w:rPr>
          <w:highlight w:val="white"/>
        </w:rPr>
        <w:t xml:space="preserve">, sans les dissocier, toutefois, des mystères </w:t>
      </w:r>
      <w:r w:rsidR="00003E21">
        <w:rPr>
          <w:highlight w:val="white"/>
        </w:rPr>
        <w:t>d</w:t>
      </w:r>
      <w:r w:rsidR="007C6A88">
        <w:rPr>
          <w:highlight w:val="white"/>
        </w:rPr>
        <w:t xml:space="preserve">ouloureux et glorieux (couplets 4 et 5), ressaisissant ainsi toute la vocation de la Mère de Dieu </w:t>
      </w:r>
      <w:r w:rsidR="00477BE6">
        <w:rPr>
          <w:highlight w:val="white"/>
        </w:rPr>
        <w:t xml:space="preserve">dans le </w:t>
      </w:r>
      <w:r w:rsidR="007C6A88">
        <w:rPr>
          <w:highlight w:val="white"/>
        </w:rPr>
        <w:t>mystère pascal d</w:t>
      </w:r>
      <w:r w:rsidR="007C6A88">
        <w:t>u Christ.</w:t>
      </w:r>
    </w:p>
    <w:p w14:paraId="29A3B54F" w14:textId="560ECA94" w:rsidR="00F81A28" w:rsidRDefault="0069434C">
      <w:pPr>
        <w:numPr>
          <w:ilvl w:val="0"/>
          <w:numId w:val="6"/>
        </w:numPr>
        <w:spacing w:after="120"/>
        <w:ind w:left="714" w:hanging="357"/>
      </w:pPr>
      <w:r>
        <w:rPr>
          <w:noProof/>
        </w:rPr>
        <mc:AlternateContent>
          <mc:Choice Requires="wps">
            <w:drawing>
              <wp:anchor distT="0" distB="0" distL="114300" distR="114300" simplePos="0" relativeHeight="251658240" behindDoc="0" locked="0" layoutInCell="1" hidden="0" allowOverlap="1" wp14:anchorId="73E46012" wp14:editId="107E7CB8">
                <wp:simplePos x="0" y="0"/>
                <wp:positionH relativeFrom="column">
                  <wp:posOffset>4236720</wp:posOffset>
                </wp:positionH>
                <wp:positionV relativeFrom="paragraph">
                  <wp:posOffset>111760</wp:posOffset>
                </wp:positionV>
                <wp:extent cx="2512695" cy="1534795"/>
                <wp:effectExtent l="25400" t="25400" r="52705" b="40005"/>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2512695" cy="1534795"/>
                        </a:xfrm>
                        <a:prstGeom prst="rect">
                          <a:avLst/>
                        </a:prstGeom>
                        <a:noFill/>
                        <a:ln w="76200" cap="flat" cmpd="thickThin">
                          <a:solidFill>
                            <a:srgbClr val="632423"/>
                          </a:solidFill>
                          <a:prstDash val="solid"/>
                          <a:miter lim="800000"/>
                          <a:headEnd type="none" w="sm" len="sm"/>
                          <a:tailEnd type="none" w="sm" len="sm"/>
                        </a:ln>
                      </wps:spPr>
                      <wps:txbx>
                        <w:txbxContent>
                          <w:p w14:paraId="37CA74E8" w14:textId="12968B18" w:rsidR="004613F6" w:rsidRPr="0026669E" w:rsidRDefault="004613F6" w:rsidP="00537154">
                            <w:pPr>
                              <w:pBdr>
                                <w:top w:val="single" w:sz="4" w:space="1" w:color="000000"/>
                                <w:left w:val="single" w:sz="4" w:space="4" w:color="000000"/>
                                <w:bottom w:val="single" w:sz="4" w:space="1" w:color="000000"/>
                                <w:right w:val="single" w:sz="4" w:space="4" w:color="000000"/>
                              </w:pBdr>
                              <w:rPr>
                                <w:rFonts w:asciiTheme="majorHAnsi" w:hAnsiTheme="majorHAnsi" w:cstheme="majorHAnsi"/>
                                <w:b/>
                                <w:i/>
                                <w:sz w:val="20"/>
                                <w:szCs w:val="20"/>
                              </w:rPr>
                            </w:pPr>
                            <w:r w:rsidRPr="00751082">
                              <w:rPr>
                                <w:rFonts w:asciiTheme="majorHAnsi" w:hAnsiTheme="majorHAnsi" w:cstheme="majorHAnsi"/>
                                <w:b/>
                                <w:i/>
                                <w:sz w:val="20"/>
                                <w:szCs w:val="20"/>
                              </w:rPr>
                              <w:t>Mémo. : ce</w:t>
                            </w:r>
                            <w:r w:rsidRPr="00751082">
                              <w:rPr>
                                <w:rFonts w:asciiTheme="majorHAnsi" w:hAnsiTheme="majorHAnsi" w:cstheme="majorHAnsi"/>
                                <w:b/>
                                <w:sz w:val="20"/>
                                <w:szCs w:val="20"/>
                              </w:rPr>
                              <w:t xml:space="preserve"> </w:t>
                            </w:r>
                            <w:r>
                              <w:rPr>
                                <w:rFonts w:asciiTheme="majorHAnsi" w:hAnsiTheme="majorHAnsi" w:cstheme="majorHAnsi"/>
                                <w:b/>
                                <w:i/>
                                <w:sz w:val="20"/>
                                <w:szCs w:val="20"/>
                              </w:rPr>
                              <w:t>que la liturgie propose pour le rite d’envoi…</w:t>
                            </w:r>
                          </w:p>
                          <w:p w14:paraId="6CF3B515" w14:textId="6CBFA637" w:rsidR="004613F6" w:rsidRPr="00740743" w:rsidRDefault="004613F6" w:rsidP="00537154">
                            <w:pPr>
                              <w:pStyle w:val="NormalWeb"/>
                              <w:spacing w:before="280" w:beforeAutospacing="0" w:after="280" w:afterAutospacing="0"/>
                              <w:rPr>
                                <w:sz w:val="22"/>
                              </w:rPr>
                            </w:pPr>
                            <w:r w:rsidRPr="00740743">
                              <w:rPr>
                                <w:rFonts w:ascii="Calibri" w:hAnsi="Calibri" w:cs="Calibri"/>
                                <w:color w:val="000000"/>
                                <w:sz w:val="20"/>
                                <w:szCs w:val="22"/>
                              </w:rPr>
                              <w:t xml:space="preserve">« La </w:t>
                            </w:r>
                            <w:r w:rsidRPr="00740743">
                              <w:rPr>
                                <w:rFonts w:ascii="Calibri" w:hAnsi="Calibri" w:cs="Calibri"/>
                                <w:i/>
                                <w:color w:val="000000"/>
                                <w:sz w:val="20"/>
                                <w:szCs w:val="22"/>
                              </w:rPr>
                              <w:t>PGMR</w:t>
                            </w:r>
                            <w:r w:rsidRPr="00740743">
                              <w:rPr>
                                <w:rFonts w:ascii="Calibri" w:hAnsi="Calibri" w:cs="Calibri"/>
                                <w:color w:val="000000"/>
                                <w:sz w:val="20"/>
                                <w:szCs w:val="22"/>
                              </w:rPr>
                              <w:t xml:space="preserve"> ne fait pas mention d’un chant d’envoi ou de sortie pour la conclusion d’une célébration eucharistique.</w:t>
                            </w:r>
                            <w:r>
                              <w:rPr>
                                <w:rFonts w:ascii="Calibri" w:hAnsi="Calibri" w:cs="Calibri"/>
                                <w:color w:val="000000"/>
                                <w:sz w:val="20"/>
                                <w:szCs w:val="22"/>
                              </w:rPr>
                              <w:t> » (SNPLS)</w:t>
                            </w:r>
                          </w:p>
                          <w:p w14:paraId="3FD46536" w14:textId="6C73F6A8" w:rsidR="004613F6" w:rsidRPr="00821C68" w:rsidRDefault="004613F6" w:rsidP="00537154">
                            <w:pPr>
                              <w:textDirection w:val="btLr"/>
                              <w:rPr>
                                <w:sz w:val="28"/>
                              </w:rPr>
                            </w:pPr>
                          </w:p>
                        </w:txbxContent>
                      </wps:txbx>
                      <wps:bodyPr spcFirstLastPara="1" wrap="square" lIns="137150" tIns="91425" rIns="137150"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3E46012" id="Rectangle 6" o:spid="_x0000_s1026" style="position:absolute;left:0;text-align:left;margin-left:333.6pt;margin-top:8.8pt;width:197.85pt;height:1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" filled="f" strokecolor="#632423" strokeweight="6pt">
                <v:stroke startarrowwidth="narrow" startarrowlength="short" endarrowwidth="narrow" endarrowlength="short" linestyle="thickThin"/>
                <v:textbox inset="3.80972mm,2.53958mm,3.80972mm,2.53958mm">
                  <w:txbxContent>
                    <w:p w14:paraId="37CA74E8" w14:textId="12968B18" w:rsidR="004613F6" w:rsidRPr="0026669E" w:rsidRDefault="004613F6" w:rsidP="00537154">
                      <w:pPr>
                        <w:pBdr>
                          <w:top w:val="single" w:sz="4" w:space="1" w:color="000000"/>
                          <w:left w:val="single" w:sz="4" w:space="4" w:color="000000"/>
                          <w:bottom w:val="single" w:sz="4" w:space="1" w:color="000000"/>
                          <w:right w:val="single" w:sz="4" w:space="4" w:color="000000"/>
                        </w:pBdr>
                        <w:rPr>
                          <w:rFonts w:asciiTheme="majorHAnsi" w:hAnsiTheme="majorHAnsi" w:cstheme="majorHAnsi"/>
                          <w:b/>
                          <w:i/>
                          <w:sz w:val="20"/>
                          <w:szCs w:val="20"/>
                        </w:rPr>
                      </w:pPr>
                      <w:r w:rsidRPr="00751082">
                        <w:rPr>
                          <w:rFonts w:asciiTheme="majorHAnsi" w:hAnsiTheme="majorHAnsi" w:cstheme="majorHAnsi"/>
                          <w:b/>
                          <w:i/>
                          <w:sz w:val="20"/>
                          <w:szCs w:val="20"/>
                        </w:rPr>
                        <w:t>Mémo. : ce</w:t>
                      </w:r>
                      <w:r w:rsidRPr="00751082">
                        <w:rPr>
                          <w:rFonts w:asciiTheme="majorHAnsi" w:hAnsiTheme="majorHAnsi" w:cstheme="majorHAnsi"/>
                          <w:b/>
                          <w:sz w:val="20"/>
                          <w:szCs w:val="20"/>
                        </w:rPr>
                        <w:t xml:space="preserve"> </w:t>
                      </w:r>
                      <w:r>
                        <w:rPr>
                          <w:rFonts w:asciiTheme="majorHAnsi" w:hAnsiTheme="majorHAnsi" w:cstheme="majorHAnsi"/>
                          <w:b/>
                          <w:i/>
                          <w:sz w:val="20"/>
                          <w:szCs w:val="20"/>
                        </w:rPr>
                        <w:t>que la liturgie propose pour le rite d’envoi…</w:t>
                      </w:r>
                    </w:p>
                    <w:p w14:paraId="6CF3B515" w14:textId="6CBFA637" w:rsidR="004613F6" w:rsidRPr="00740743" w:rsidRDefault="004613F6" w:rsidP="00537154">
                      <w:pPr>
                        <w:pStyle w:val="NormalWeb"/>
                        <w:spacing w:before="280" w:beforeAutospacing="0" w:after="280" w:afterAutospacing="0"/>
                        <w:rPr>
                          <w:sz w:val="22"/>
                        </w:rPr>
                      </w:pPr>
                      <w:r w:rsidRPr="00740743">
                        <w:rPr>
                          <w:rFonts w:ascii="Calibri" w:hAnsi="Calibri" w:cs="Calibri"/>
                          <w:color w:val="000000"/>
                          <w:sz w:val="20"/>
                          <w:szCs w:val="22"/>
                        </w:rPr>
                        <w:t xml:space="preserve">« La </w:t>
                      </w:r>
                      <w:r w:rsidRPr="00740743">
                        <w:rPr>
                          <w:rFonts w:ascii="Calibri" w:hAnsi="Calibri" w:cs="Calibri"/>
                          <w:i/>
                          <w:color w:val="000000"/>
                          <w:sz w:val="20"/>
                          <w:szCs w:val="22"/>
                        </w:rPr>
                        <w:t>PGMR</w:t>
                      </w:r>
                      <w:r w:rsidRPr="00740743">
                        <w:rPr>
                          <w:rFonts w:ascii="Calibri" w:hAnsi="Calibri" w:cs="Calibri"/>
                          <w:color w:val="000000"/>
                          <w:sz w:val="20"/>
                          <w:szCs w:val="22"/>
                        </w:rPr>
                        <w:t xml:space="preserve"> ne fait pas mention d’un chant d’envoi ou de sortie pour la conclusion d’une célébration eucharistique.</w:t>
                      </w:r>
                      <w:r>
                        <w:rPr>
                          <w:rFonts w:ascii="Calibri" w:hAnsi="Calibri" w:cs="Calibri"/>
                          <w:color w:val="000000"/>
                          <w:sz w:val="20"/>
                          <w:szCs w:val="22"/>
                        </w:rPr>
                        <w:t> » (SNPLS)</w:t>
                      </w:r>
                    </w:p>
                    <w:p w14:paraId="3FD46536" w14:textId="6C73F6A8" w:rsidR="004613F6" w:rsidRPr="00821C68" w:rsidRDefault="004613F6" w:rsidP="00537154">
                      <w:pPr>
                        <w:textDirection w:val="btLr"/>
                        <w:rPr>
                          <w:sz w:val="28"/>
                        </w:rPr>
                      </w:pPr>
                    </w:p>
                  </w:txbxContent>
                </v:textbox>
                <w10:wrap type="square"/>
              </v:rect>
            </w:pict>
          </mc:Fallback>
        </mc:AlternateContent>
      </w:r>
      <w:r w:rsidR="007E6460">
        <w:rPr>
          <w:i/>
        </w:rPr>
        <w:t>Quelle attitude spirituelle ?</w:t>
      </w:r>
      <w:r w:rsidR="007E6460">
        <w:t xml:space="preserve"> </w:t>
      </w:r>
      <w:r w:rsidR="00003E21">
        <w:rPr>
          <w:b/>
        </w:rPr>
        <w:t>Louange</w:t>
      </w:r>
    </w:p>
    <w:p w14:paraId="5DEA8F0C" w14:textId="5D134E08" w:rsidR="009E61D1" w:rsidRDefault="00693358" w:rsidP="009E61D1">
      <w:pPr>
        <w:spacing w:after="120"/>
        <w:ind w:left="714"/>
      </w:pPr>
      <w:r>
        <w:t xml:space="preserve">Ce chant </w:t>
      </w:r>
      <w:r w:rsidR="00003E21">
        <w:t xml:space="preserve">est entièrement consacré à la louange de Marie, et </w:t>
      </w:r>
      <w:r w:rsidR="004613F6">
        <w:t xml:space="preserve">il </w:t>
      </w:r>
      <w:r w:rsidR="00003E21">
        <w:t>nous associe à sa joie</w:t>
      </w:r>
      <w:r w:rsidR="00537154">
        <w:t xml:space="preserve"> d’être la mère du Sauveur, le texte du refrain s’inspirant d’un verset de l’</w:t>
      </w:r>
      <w:hyperlink r:id="rId8" w:history="1">
        <w:r w:rsidR="00537154" w:rsidRPr="00537154">
          <w:rPr>
            <w:rStyle w:val="Lienhypertexte"/>
          </w:rPr>
          <w:t>Hymne acathiste</w:t>
        </w:r>
      </w:hyperlink>
      <w:r w:rsidR="00537154">
        <w:t xml:space="preserve"> : </w:t>
      </w:r>
      <w:r w:rsidR="00003E21">
        <w:t xml:space="preserve">« Réjouis-toi, </w:t>
      </w:r>
      <w:r w:rsidR="00537154">
        <w:t>tu portes en ton sein</w:t>
      </w:r>
      <w:r w:rsidR="00003E21">
        <w:t xml:space="preserve"> Celui qui porte tout. »</w:t>
      </w:r>
    </w:p>
    <w:p w14:paraId="3613106D" w14:textId="1989A707" w:rsidR="00F81A28" w:rsidRDefault="007E6460" w:rsidP="009E61D1">
      <w:pPr>
        <w:spacing w:after="120"/>
        <w:ind w:left="714"/>
      </w:pPr>
      <w:r>
        <w:rPr>
          <w:i/>
        </w:rPr>
        <w:t xml:space="preserve">Pour quel rite liturgique ? </w:t>
      </w:r>
      <w:r w:rsidR="00537154">
        <w:rPr>
          <w:b/>
        </w:rPr>
        <w:t>Chant de sortie</w:t>
      </w:r>
    </w:p>
    <w:p w14:paraId="0B1EEF7E" w14:textId="29C70152" w:rsidR="0069434C" w:rsidRDefault="0069434C">
      <w:pPr>
        <w:pBdr>
          <w:top w:val="nil"/>
          <w:left w:val="nil"/>
          <w:bottom w:val="nil"/>
          <w:right w:val="nil"/>
          <w:between w:val="nil"/>
        </w:pBdr>
        <w:spacing w:after="120"/>
        <w:ind w:left="738"/>
      </w:pPr>
      <w:r>
        <w:t>Compte tenu du caractère à la fois plutôt dévotionnel et très rythmé, voire dansant, de ce chant, ce dernier conviendra particulièrement bien à la fin d’une célébration, moment rituellement libre.</w:t>
      </w:r>
    </w:p>
    <w:p w14:paraId="06A6F809" w14:textId="4FBF339E" w:rsidR="00F81A28" w:rsidRPr="00693358" w:rsidRDefault="007E6460" w:rsidP="00693358">
      <w:pPr>
        <w:numPr>
          <w:ilvl w:val="0"/>
          <w:numId w:val="3"/>
        </w:numPr>
        <w:pBdr>
          <w:top w:val="nil"/>
          <w:left w:val="nil"/>
          <w:bottom w:val="nil"/>
          <w:right w:val="nil"/>
          <w:between w:val="nil"/>
        </w:pBdr>
        <w:spacing w:after="120"/>
        <w:ind w:left="425" w:hanging="357"/>
        <w:rPr>
          <w:b/>
          <w:color w:val="000000"/>
        </w:rPr>
      </w:pPr>
      <w:r>
        <w:rPr>
          <w:b/>
          <w:color w:val="000000"/>
        </w:rPr>
        <w:t>Convenance ecclésiale : « </w:t>
      </w:r>
      <w:r>
        <w:t>L’Assemblée, sujet premier de la célébration. »</w:t>
      </w:r>
    </w:p>
    <w:p w14:paraId="4E861862" w14:textId="77777777" w:rsidR="00F81A28" w:rsidRDefault="007E6460">
      <w:pPr>
        <w:numPr>
          <w:ilvl w:val="0"/>
          <w:numId w:val="5"/>
        </w:numPr>
        <w:pBdr>
          <w:top w:val="nil"/>
          <w:left w:val="nil"/>
          <w:bottom w:val="nil"/>
          <w:right w:val="nil"/>
          <w:between w:val="nil"/>
        </w:pBdr>
        <w:spacing w:after="120"/>
        <w:ind w:left="714" w:hanging="357"/>
        <w:rPr>
          <w:i/>
          <w:color w:val="000000"/>
        </w:rPr>
      </w:pPr>
      <w:r>
        <w:rPr>
          <w:i/>
          <w:color w:val="000000"/>
        </w:rPr>
        <w:t>À quelle assemblée peut convenir ce chant ?</w:t>
      </w:r>
    </w:p>
    <w:p w14:paraId="09623A67" w14:textId="73E7A72D" w:rsidR="00F81A28" w:rsidRPr="00085D18" w:rsidRDefault="0069434C" w:rsidP="00085D18">
      <w:pPr>
        <w:pBdr>
          <w:top w:val="nil"/>
          <w:left w:val="nil"/>
          <w:bottom w:val="nil"/>
          <w:right w:val="nil"/>
          <w:between w:val="nil"/>
        </w:pBdr>
        <w:spacing w:after="120"/>
        <w:ind w:left="720"/>
      </w:pPr>
      <w:r>
        <w:t xml:space="preserve">Plutôt pour moyenne ou grande assemblée, où la dimension rythmée pourra aisément être </w:t>
      </w:r>
      <w:r w:rsidR="004613F6">
        <w:t xml:space="preserve">assumée, et </w:t>
      </w:r>
      <w:r w:rsidR="007C6A88">
        <w:t xml:space="preserve">surtout </w:t>
      </w:r>
      <w:r w:rsidR="004613F6">
        <w:t xml:space="preserve">soutenue par un </w:t>
      </w:r>
      <w:r>
        <w:t>groupe de chanteurs et musiciens</w:t>
      </w:r>
      <w:r w:rsidR="004613F6">
        <w:t xml:space="preserve"> capables de maintenir sa dynamique</w:t>
      </w:r>
      <w:r>
        <w:t>.</w:t>
      </w:r>
      <w:r w:rsidR="007E6460">
        <w:br w:type="page"/>
      </w:r>
    </w:p>
    <w:p w14:paraId="186729E2" w14:textId="77777777" w:rsidR="00F81A28" w:rsidRDefault="00F81A28">
      <w:pPr>
        <w:spacing w:after="120"/>
        <w:rPr>
          <w:b/>
          <w:smallCaps/>
          <w:color w:val="000000"/>
        </w:rPr>
      </w:pPr>
    </w:p>
    <w:p w14:paraId="48BE79E0" w14:textId="77777777" w:rsidR="00F81A28" w:rsidRDefault="007E6460">
      <w:pPr>
        <w:spacing w:after="120"/>
        <w:rPr>
          <w:b/>
          <w:smallCaps/>
          <w:color w:val="000000"/>
          <w:sz w:val="28"/>
          <w:szCs w:val="28"/>
        </w:rPr>
      </w:pPr>
      <w:r>
        <w:rPr>
          <w:b/>
          <w:smallCaps/>
          <w:color w:val="000000"/>
          <w:sz w:val="28"/>
          <w:szCs w:val="28"/>
        </w:rPr>
        <w:t>Texte et musique</w:t>
      </w:r>
    </w:p>
    <w:p w14:paraId="4E5657BF" w14:textId="77777777" w:rsidR="00F81A28" w:rsidRDefault="00F81A28">
      <w:pPr>
        <w:spacing w:after="120"/>
        <w:rPr>
          <w:sz w:val="12"/>
          <w:szCs w:val="12"/>
        </w:rPr>
      </w:pPr>
    </w:p>
    <w:p w14:paraId="61711E44" w14:textId="650D26B1" w:rsidR="00F81A28" w:rsidRPr="00086D85" w:rsidRDefault="007E6460">
      <w:pPr>
        <w:numPr>
          <w:ilvl w:val="0"/>
          <w:numId w:val="2"/>
        </w:numPr>
        <w:pBdr>
          <w:top w:val="nil"/>
          <w:left w:val="nil"/>
          <w:bottom w:val="nil"/>
          <w:right w:val="nil"/>
          <w:between w:val="nil"/>
        </w:pBdr>
        <w:spacing w:after="120"/>
        <w:ind w:left="714" w:hanging="357"/>
        <w:rPr>
          <w:color w:val="000000"/>
        </w:rPr>
      </w:pPr>
      <w:r>
        <w:rPr>
          <w:b/>
          <w:color w:val="000000"/>
        </w:rPr>
        <w:t>Convenance textuelle et musicale</w:t>
      </w:r>
    </w:p>
    <w:p w14:paraId="33D3CE5E" w14:textId="77777777" w:rsidR="00086D85" w:rsidRDefault="00086D85" w:rsidP="00086D85">
      <w:pPr>
        <w:pStyle w:val="Paragraphedeliste"/>
      </w:pPr>
      <w:r>
        <w:t xml:space="preserve">La musique de ce chant cherche à traduire la joie de la contemplation de Marie en évoquant les grandes étapes de sa vie, depuis l’annonciation jusqu’à son couronnement. </w:t>
      </w:r>
      <w:r>
        <w:br/>
        <w:t>Dans une forme très contemporaine, c’est le rythme surtout qui exprime la louange au Seigneur à travers Marie.</w:t>
      </w:r>
      <w:r>
        <w:br/>
        <w:t xml:space="preserve">Cette forme de chants nous invite à retrouver les techniques les plus anciennes d’expression et de transmission musicales. En effet, c’est surtout par l’écoute que se transmettent ces chants et non par l’écrit. Nous ne disposons pas des outils d’écriture pour fixer précisément la musique de ce chant ; est-ce d’ailleurs souhaitable ? Il faut écouter comment elle est chantée, en percevoir les appuis qui structurent la mélodie et se laisser habiter par la musique.   </w:t>
      </w:r>
    </w:p>
    <w:p w14:paraId="4BA2F569" w14:textId="77777777" w:rsidR="00F81A28" w:rsidRDefault="00F81A28" w:rsidP="00086D85"/>
    <w:p w14:paraId="45ADADC3" w14:textId="77777777" w:rsidR="00F81A28" w:rsidRDefault="00F81A28">
      <w:pPr>
        <w:ind w:left="720"/>
        <w:rPr>
          <w:i/>
        </w:rPr>
      </w:pPr>
    </w:p>
    <w:p w14:paraId="7CD94C29" w14:textId="1F808BFD" w:rsidR="00F81A28" w:rsidRPr="00086D85" w:rsidRDefault="007E6460" w:rsidP="00086D85">
      <w:pPr>
        <w:numPr>
          <w:ilvl w:val="0"/>
          <w:numId w:val="2"/>
        </w:numPr>
        <w:pBdr>
          <w:top w:val="nil"/>
          <w:left w:val="nil"/>
          <w:bottom w:val="nil"/>
          <w:right w:val="nil"/>
          <w:between w:val="nil"/>
        </w:pBdr>
        <w:spacing w:after="120"/>
        <w:ind w:left="714" w:hanging="357"/>
        <w:rPr>
          <w:color w:val="000000"/>
        </w:rPr>
      </w:pPr>
      <w:r>
        <w:rPr>
          <w:b/>
          <w:color w:val="000000"/>
        </w:rPr>
        <w:t>Convenance vocale et corporelle</w:t>
      </w:r>
      <w:r w:rsidR="00086D85">
        <w:rPr>
          <w:color w:val="000000"/>
        </w:rPr>
        <w:t xml:space="preserve"> et </w:t>
      </w:r>
      <w:r w:rsidR="00086D85">
        <w:rPr>
          <w:b/>
          <w:color w:val="000000"/>
        </w:rPr>
        <w:t>m</w:t>
      </w:r>
      <w:r w:rsidRPr="00086D85">
        <w:rPr>
          <w:b/>
          <w:color w:val="000000"/>
        </w:rPr>
        <w:t>ise en œuvre</w:t>
      </w:r>
    </w:p>
    <w:p w14:paraId="374BB69C" w14:textId="2938E1D7" w:rsidR="00F81A28" w:rsidRPr="00D565B5" w:rsidRDefault="00086D85" w:rsidP="00D565B5">
      <w:pPr>
        <w:pStyle w:val="Paragraphedeliste"/>
        <w:spacing w:before="100" w:beforeAutospacing="1" w:after="100" w:afterAutospacing="1"/>
      </w:pPr>
      <w:r>
        <w:t>Il s’agit dans ce chant de bien allier douceur et dynamisme, en particulier dans la diction et dans la conduite des phrases du refrain. Le texte, bien articulé, devra faire ressortir tout autant les voyelles qui porteront la voix. On respirera toutes les deux mesures, pour être bien à l’aise. On veillera à dilater le chant sur la dernière phrase de chacun des couplets.</w:t>
      </w:r>
    </w:p>
    <w:p w14:paraId="6EA93FEF" w14:textId="77777777" w:rsidR="00F81A28" w:rsidRDefault="00F81A28"/>
    <w:p w14:paraId="6E0695AE" w14:textId="77777777" w:rsidR="00F81A28" w:rsidRDefault="007E6460">
      <w:pPr>
        <w:jc w:val="center"/>
      </w:pPr>
      <w:r>
        <w:t>*****</w:t>
      </w:r>
    </w:p>
    <w:p w14:paraId="0DA916BF" w14:textId="77777777" w:rsidR="00F81A28" w:rsidRDefault="00F81A28"/>
    <w:p w14:paraId="2ADA4B78" w14:textId="271000F2" w:rsidR="00F81A28" w:rsidRDefault="007E6460">
      <w:pPr>
        <w:numPr>
          <w:ilvl w:val="0"/>
          <w:numId w:val="1"/>
        </w:numPr>
        <w:ind w:left="426" w:firstLine="0"/>
        <w:rPr>
          <w:color w:val="000000"/>
        </w:rPr>
      </w:pPr>
      <w:r>
        <w:rPr>
          <w:i/>
          <w:color w:val="000000"/>
        </w:rPr>
        <w:t>Sources bibliques</w:t>
      </w:r>
      <w:r>
        <w:rPr>
          <w:color w:val="000000"/>
        </w:rPr>
        <w:t xml:space="preserve"> : </w:t>
      </w:r>
      <w:r w:rsidR="00000132">
        <w:rPr>
          <w:color w:val="000000"/>
        </w:rPr>
        <w:t xml:space="preserve">Ps 44, 11-18 ; </w:t>
      </w:r>
      <w:proofErr w:type="spellStart"/>
      <w:r w:rsidR="00000132">
        <w:rPr>
          <w:color w:val="000000"/>
        </w:rPr>
        <w:t>Lc</w:t>
      </w:r>
      <w:proofErr w:type="spellEnd"/>
      <w:r w:rsidR="00000132">
        <w:rPr>
          <w:color w:val="000000"/>
        </w:rPr>
        <w:t xml:space="preserve"> 1, 26-38 ; 42-47 ; </w:t>
      </w:r>
      <w:proofErr w:type="spellStart"/>
      <w:r w:rsidR="00000132">
        <w:rPr>
          <w:color w:val="000000"/>
        </w:rPr>
        <w:t>Jn</w:t>
      </w:r>
      <w:proofErr w:type="spellEnd"/>
      <w:r w:rsidR="00000132">
        <w:rPr>
          <w:color w:val="000000"/>
        </w:rPr>
        <w:t xml:space="preserve"> 19, 25-27</w:t>
      </w:r>
      <w:r w:rsidR="002245F3">
        <w:rPr>
          <w:color w:val="000000"/>
        </w:rPr>
        <w:t xml:space="preserve"> ; </w:t>
      </w:r>
      <w:proofErr w:type="spellStart"/>
      <w:r w:rsidR="002245F3">
        <w:rPr>
          <w:color w:val="000000"/>
        </w:rPr>
        <w:t>Ap</w:t>
      </w:r>
      <w:proofErr w:type="spellEnd"/>
      <w:r w:rsidR="002245F3">
        <w:rPr>
          <w:color w:val="000000"/>
        </w:rPr>
        <w:t xml:space="preserve"> 21, 9-10 ; 22-23</w:t>
      </w:r>
    </w:p>
    <w:p w14:paraId="3C13A8D2" w14:textId="77B3409A" w:rsidR="00003E21" w:rsidRPr="00B53AF3" w:rsidRDefault="00003E21">
      <w:pPr>
        <w:numPr>
          <w:ilvl w:val="0"/>
          <w:numId w:val="1"/>
        </w:numPr>
        <w:ind w:left="426" w:firstLine="0"/>
        <w:rPr>
          <w:color w:val="000000"/>
        </w:rPr>
      </w:pPr>
      <w:r>
        <w:rPr>
          <w:i/>
          <w:color w:val="000000"/>
        </w:rPr>
        <w:t xml:space="preserve">Source liturgique </w:t>
      </w:r>
      <w:r>
        <w:rPr>
          <w:color w:val="000000"/>
        </w:rPr>
        <w:t>(pour le refrain)</w:t>
      </w:r>
      <w:r>
        <w:rPr>
          <w:i/>
          <w:color w:val="000000"/>
        </w:rPr>
        <w:t> </w:t>
      </w:r>
      <w:r>
        <w:rPr>
          <w:color w:val="000000"/>
        </w:rPr>
        <w:t xml:space="preserve">: </w:t>
      </w:r>
      <w:hyperlink r:id="rId9" w:history="1">
        <w:r w:rsidRPr="00537154">
          <w:rPr>
            <w:rStyle w:val="Lienhypertexte"/>
          </w:rPr>
          <w:t>Hymne acathiste</w:t>
        </w:r>
      </w:hyperlink>
      <w:r>
        <w:rPr>
          <w:color w:val="000000"/>
        </w:rPr>
        <w:t xml:space="preserve"> </w:t>
      </w:r>
    </w:p>
    <w:p w14:paraId="138E0946" w14:textId="48C51797" w:rsidR="00F81A28" w:rsidRPr="006D0091" w:rsidRDefault="007E6460" w:rsidP="006D0091">
      <w:pPr>
        <w:numPr>
          <w:ilvl w:val="0"/>
          <w:numId w:val="1"/>
        </w:numPr>
        <w:ind w:left="426" w:firstLine="0"/>
        <w:rPr>
          <w:color w:val="000000"/>
        </w:rPr>
      </w:pPr>
      <w:r>
        <w:rPr>
          <w:i/>
          <w:color w:val="000000"/>
        </w:rPr>
        <w:t>Texte</w:t>
      </w:r>
      <w:r w:rsidR="006D0091">
        <w:rPr>
          <w:i/>
          <w:color w:val="000000"/>
        </w:rPr>
        <w:t xml:space="preserve"> et musique : </w:t>
      </w:r>
      <w:r w:rsidR="006D0091">
        <w:rPr>
          <w:color w:val="000000"/>
        </w:rPr>
        <w:t>Communauté d</w:t>
      </w:r>
      <w:r w:rsidR="002245F3">
        <w:rPr>
          <w:color w:val="000000"/>
        </w:rPr>
        <w:t>e l’Emmanuel (Laurie</w:t>
      </w:r>
      <w:r w:rsidR="006D0091">
        <w:rPr>
          <w:color w:val="000000"/>
        </w:rPr>
        <w:t xml:space="preserve"> Cordin)</w:t>
      </w:r>
    </w:p>
    <w:p w14:paraId="4B066B44" w14:textId="4606641A" w:rsidR="00F81A28" w:rsidRDefault="007E6460">
      <w:pPr>
        <w:numPr>
          <w:ilvl w:val="0"/>
          <w:numId w:val="1"/>
        </w:numPr>
        <w:ind w:left="426" w:firstLine="0"/>
        <w:rPr>
          <w:color w:val="000000"/>
        </w:rPr>
      </w:pPr>
      <w:r>
        <w:rPr>
          <w:i/>
          <w:color w:val="000000"/>
        </w:rPr>
        <w:t>Éditeur :</w:t>
      </w:r>
      <w:r>
        <w:rPr>
          <w:color w:val="000000"/>
        </w:rPr>
        <w:t xml:space="preserve"> </w:t>
      </w:r>
      <w:r w:rsidR="006D0091">
        <w:rPr>
          <w:color w:val="000000"/>
        </w:rPr>
        <w:t>Éditions de l’Emmanuel, 2000.</w:t>
      </w:r>
    </w:p>
    <w:p w14:paraId="504DE951" w14:textId="66E6F9B4" w:rsidR="00F81A28" w:rsidRDefault="007E6460" w:rsidP="00567062">
      <w:pPr>
        <w:numPr>
          <w:ilvl w:val="0"/>
          <w:numId w:val="1"/>
        </w:numPr>
        <w:ind w:left="709" w:hanging="283"/>
        <w:rPr>
          <w:i/>
          <w:color w:val="000000"/>
        </w:rPr>
      </w:pPr>
      <w:r>
        <w:rPr>
          <w:i/>
          <w:color w:val="000000"/>
        </w:rPr>
        <w:t>À écouter</w:t>
      </w:r>
      <w:r w:rsidR="006D0091">
        <w:rPr>
          <w:i/>
          <w:color w:val="000000"/>
        </w:rPr>
        <w:t> </w:t>
      </w:r>
      <w:r w:rsidR="006D0091">
        <w:rPr>
          <w:color w:val="000000"/>
        </w:rPr>
        <w:t xml:space="preserve">: </w:t>
      </w:r>
      <w:r w:rsidR="000573EA">
        <w:fldChar w:fldCharType="begin"/>
      </w:r>
      <w:r w:rsidR="000573EA">
        <w:instrText xml:space="preserve"> HYPERLINK "https://youtu.be/kpiLnOOT2TA" </w:instrText>
      </w:r>
      <w:r w:rsidR="000573EA">
        <w:fldChar w:fldCharType="separate"/>
      </w:r>
      <w:r w:rsidR="006D0091" w:rsidRPr="006D0091">
        <w:rPr>
          <w:rStyle w:val="Lienhypertexte"/>
          <w:i/>
        </w:rPr>
        <w:t>Tu as porté celui qui porte tout</w:t>
      </w:r>
      <w:r w:rsidR="000573EA">
        <w:rPr>
          <w:rStyle w:val="Lienhypertexte"/>
          <w:i/>
        </w:rPr>
        <w:fldChar w:fldCharType="end"/>
      </w:r>
      <w:r w:rsidR="006D0091">
        <w:rPr>
          <w:i/>
          <w:color w:val="000000"/>
        </w:rPr>
        <w:t xml:space="preserve"> </w:t>
      </w:r>
    </w:p>
    <w:p w14:paraId="4F8FDA35" w14:textId="1C239B11" w:rsidR="00A31806" w:rsidRDefault="00A31806" w:rsidP="00567062">
      <w:pPr>
        <w:numPr>
          <w:ilvl w:val="0"/>
          <w:numId w:val="1"/>
        </w:numPr>
        <w:ind w:left="709" w:hanging="283"/>
        <w:rPr>
          <w:i/>
          <w:color w:val="000000"/>
        </w:rPr>
      </w:pPr>
      <w:r>
        <w:rPr>
          <w:i/>
          <w:color w:val="000000"/>
        </w:rPr>
        <w:t xml:space="preserve">Partition : </w:t>
      </w:r>
      <w:hyperlink r:id="rId10" w:history="1">
        <w:r w:rsidRPr="00A31806">
          <w:rPr>
            <w:rStyle w:val="Lienhypertexte"/>
            <w:i/>
          </w:rPr>
          <w:t>SECLI</w:t>
        </w:r>
      </w:hyperlink>
      <w:bookmarkStart w:id="4" w:name="_GoBack"/>
      <w:bookmarkEnd w:id="4"/>
    </w:p>
    <w:p w14:paraId="57FCAB8E" w14:textId="77777777" w:rsidR="00F81A28" w:rsidRDefault="00F81A28" w:rsidP="00567062">
      <w:pPr>
        <w:ind w:left="709" w:hanging="283"/>
        <w:rPr>
          <w:color w:val="000000"/>
        </w:rPr>
      </w:pPr>
    </w:p>
    <w:p w14:paraId="134E4C57" w14:textId="37D302AB" w:rsidR="00F81A28" w:rsidRDefault="00821C68">
      <w:pPr>
        <w:rPr>
          <w:color w:val="000000"/>
        </w:rPr>
      </w:pPr>
      <w:r>
        <w:rPr>
          <w:color w:val="000000"/>
        </w:rPr>
        <w:tab/>
      </w:r>
      <w:r w:rsidR="007E6460">
        <w:rPr>
          <w:color w:val="000000"/>
        </w:rPr>
        <w:t>QR code du SECLI :</w:t>
      </w:r>
    </w:p>
    <w:p w14:paraId="3DD372B5" w14:textId="4204E2AA" w:rsidR="00F81A28" w:rsidRDefault="006D0091">
      <w:pPr>
        <w:ind w:left="720"/>
        <w:jc w:val="center"/>
        <w:rPr>
          <w:color w:val="000000"/>
        </w:rPr>
      </w:pPr>
      <w:r>
        <w:rPr>
          <w:noProof/>
          <w:color w:val="000000"/>
        </w:rPr>
        <w:drawing>
          <wp:inline distT="0" distB="0" distL="0" distR="0" wp14:anchorId="19626863" wp14:editId="26B3DBB7">
            <wp:extent cx="1975213" cy="1975213"/>
            <wp:effectExtent l="0" t="0" r="6350" b="635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621" cy="1975621"/>
                    </a:xfrm>
                    <a:prstGeom prst="rect">
                      <a:avLst/>
                    </a:prstGeom>
                    <a:noFill/>
                    <a:ln>
                      <a:noFill/>
                    </a:ln>
                  </pic:spPr>
                </pic:pic>
              </a:graphicData>
            </a:graphic>
          </wp:inline>
        </w:drawing>
      </w:r>
    </w:p>
    <w:p w14:paraId="14B834AA" w14:textId="298B91E9" w:rsidR="00567062" w:rsidRPr="006D0091" w:rsidRDefault="00567062" w:rsidP="006D0091">
      <w:pPr>
        <w:ind w:left="1080"/>
        <w:rPr>
          <w:rFonts w:asciiTheme="minorHAnsi" w:hAnsiTheme="minorHAnsi" w:cs="Calibri"/>
          <w:szCs w:val="20"/>
        </w:rPr>
      </w:pPr>
    </w:p>
    <w:sectPr w:rsidR="00567062" w:rsidRPr="006D0091">
      <w:headerReference w:type="default" r:id="rId12"/>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E56A" w14:textId="77777777" w:rsidR="004613F6" w:rsidRDefault="004613F6">
      <w:r>
        <w:separator/>
      </w:r>
    </w:p>
  </w:endnote>
  <w:endnote w:type="continuationSeparator" w:id="0">
    <w:p w14:paraId="56328680" w14:textId="77777777" w:rsidR="004613F6" w:rsidRDefault="0046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A57D" w14:textId="77777777" w:rsidR="004613F6" w:rsidRDefault="004613F6">
      <w:r>
        <w:separator/>
      </w:r>
    </w:p>
  </w:footnote>
  <w:footnote w:type="continuationSeparator" w:id="0">
    <w:p w14:paraId="3662A5FB" w14:textId="77777777" w:rsidR="004613F6" w:rsidRDefault="004613F6">
      <w:r>
        <w:continuationSeparator/>
      </w:r>
    </w:p>
  </w:footnote>
  <w:footnote w:id="1">
    <w:p w14:paraId="0B150816" w14:textId="77777777" w:rsidR="004613F6" w:rsidRDefault="004613F6" w:rsidP="00CA3227">
      <w:pPr>
        <w:pBdr>
          <w:top w:val="nil"/>
          <w:left w:val="nil"/>
          <w:bottom w:val="nil"/>
          <w:right w:val="nil"/>
          <w:between w:val="nil"/>
        </w:pBdr>
        <w:jc w:val="both"/>
        <w:rPr>
          <w:i/>
          <w:color w:val="000000"/>
          <w:sz w:val="18"/>
          <w:szCs w:val="18"/>
        </w:rPr>
      </w:pPr>
      <w:r>
        <w:rPr>
          <w:vertAlign w:val="superscript"/>
        </w:rPr>
        <w:footnoteRef/>
      </w:r>
      <w:r>
        <w:rPr>
          <w:color w:val="000000"/>
          <w:sz w:val="18"/>
          <w:szCs w:val="18"/>
        </w:rPr>
        <w:t xml:space="preserve"> R.P. Joseph G</w:t>
      </w:r>
      <w:r>
        <w:rPr>
          <w:smallCaps/>
          <w:color w:val="000000"/>
          <w:sz w:val="18"/>
          <w:szCs w:val="18"/>
        </w:rPr>
        <w:t>elineau</w:t>
      </w:r>
      <w:r>
        <w:rPr>
          <w:color w:val="000000"/>
          <w:sz w:val="18"/>
          <w:szCs w:val="18"/>
        </w:rPr>
        <w:t xml:space="preserve">, </w:t>
      </w:r>
      <w:proofErr w:type="spellStart"/>
      <w:r>
        <w:rPr>
          <w:color w:val="000000"/>
          <w:sz w:val="18"/>
          <w:szCs w:val="18"/>
        </w:rPr>
        <w:t>s.j</w:t>
      </w:r>
      <w:proofErr w:type="spellEnd"/>
      <w:r>
        <w:rPr>
          <w:color w:val="000000"/>
          <w:sz w:val="18"/>
          <w:szCs w:val="18"/>
        </w:rPr>
        <w:t xml:space="preserve">., </w:t>
      </w:r>
      <w:r>
        <w:rPr>
          <w:i/>
          <w:color w:val="000000"/>
          <w:sz w:val="18"/>
          <w:szCs w:val="18"/>
        </w:rPr>
        <w:t>Les chants de la messe dans leur enracinement rituel</w:t>
      </w:r>
      <w:r>
        <w:rPr>
          <w:color w:val="000000"/>
          <w:sz w:val="18"/>
          <w:szCs w:val="18"/>
        </w:rPr>
        <w:t>, Paris, Éditions du Cerf, 2001, p.</w:t>
      </w:r>
      <w:r>
        <w:rPr>
          <w:color w:val="000000"/>
          <w:sz w:val="18"/>
          <w:szCs w:val="18"/>
          <w:lang w:val="el-GR"/>
        </w:rPr>
        <w:t> </w:t>
      </w:r>
      <w:r>
        <w:rPr>
          <w:color w:val="000000"/>
          <w:sz w:val="18"/>
          <w:szCs w:val="18"/>
        </w:rPr>
        <w:t>12.</w:t>
      </w:r>
    </w:p>
  </w:footnote>
  <w:footnote w:id="2">
    <w:p w14:paraId="57359ED3" w14:textId="77777777" w:rsidR="004613F6" w:rsidRDefault="004613F6" w:rsidP="00477BE6">
      <w:pPr>
        <w:jc w:val="both"/>
        <w:rPr>
          <w:sz w:val="18"/>
          <w:szCs w:val="18"/>
        </w:rPr>
      </w:pPr>
      <w:r>
        <w:rPr>
          <w:vertAlign w:val="superscript"/>
        </w:rPr>
        <w:footnoteRef/>
      </w:r>
      <w:r>
        <w:rPr>
          <w:sz w:val="18"/>
          <w:szCs w:val="18"/>
        </w:rPr>
        <w:t xml:space="preserve"> C</w:t>
      </w:r>
      <w:r>
        <w:rPr>
          <w:smallCaps/>
          <w:sz w:val="18"/>
          <w:szCs w:val="18"/>
        </w:rPr>
        <w:t xml:space="preserve">ongrégation pour le culte divin et la discipline des sacrements, </w:t>
      </w:r>
      <w:hyperlink r:id="rId1">
        <w:r>
          <w:rPr>
            <w:i/>
            <w:color w:val="1155CC"/>
            <w:sz w:val="18"/>
            <w:szCs w:val="18"/>
            <w:u w:val="single"/>
          </w:rPr>
          <w:t>Directoire sur la piété populaire et la liturgie. Principes et orientations</w:t>
        </w:r>
      </w:hyperlink>
      <w:r>
        <w:rPr>
          <w:sz w:val="18"/>
          <w:szCs w:val="18"/>
        </w:rPr>
        <w:t>, « La Vierge Marie dans le temps de l’Avent</w:t>
      </w:r>
      <w:r>
        <w:rPr>
          <w:sz w:val="18"/>
          <w:szCs w:val="18"/>
          <w:highlight w:val="white"/>
        </w:rPr>
        <w:t> </w:t>
      </w:r>
      <w:r>
        <w:rPr>
          <w:sz w:val="18"/>
          <w:szCs w:val="18"/>
        </w:rPr>
        <w:t>», n</w:t>
      </w:r>
      <w:r>
        <w:rPr>
          <w:sz w:val="18"/>
          <w:szCs w:val="18"/>
          <w:vertAlign w:val="superscript"/>
        </w:rPr>
        <w:t>os</w:t>
      </w:r>
      <w:r>
        <w:rPr>
          <w:sz w:val="18"/>
          <w:szCs w:val="18"/>
        </w:rPr>
        <w:t> 101-102 : « </w:t>
      </w:r>
      <w:r>
        <w:rPr>
          <w:sz w:val="18"/>
          <w:szCs w:val="18"/>
          <w:highlight w:val="white"/>
        </w:rPr>
        <w:t>Durant le temps de l’Avent, la Liturgie célèbre fréquemment et d’une manière particulière la bienheureuse Vierge Marie (...). Il reste que la valorisation de l’Avent, qui est "un moment particulièrement adapté au culte de la Mère du Seigneur" ne signifie pas pour autant que ce temps liturgique doive être présenté comme un "mois de Marie". </w:t>
      </w:r>
      <w:r>
        <w:rPr>
          <w:sz w:val="18"/>
          <w:szCs w:val="18"/>
        </w:rPr>
        <w:t>» (</w:t>
      </w:r>
      <w:proofErr w:type="gramStart"/>
      <w:r>
        <w:rPr>
          <w:sz w:val="18"/>
          <w:szCs w:val="18"/>
        </w:rPr>
        <w:t>n</w:t>
      </w:r>
      <w:proofErr w:type="gramEnd"/>
      <w:r>
        <w:rPr>
          <w:sz w:val="18"/>
          <w:szCs w:val="18"/>
        </w:rPr>
        <w:t>°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3B9B" w14:textId="77777777" w:rsidR="004613F6" w:rsidRDefault="004613F6">
    <w:pPr>
      <w:rPr>
        <w:i/>
      </w:rPr>
    </w:pPr>
    <w:r>
      <w:rPr>
        <w:i/>
      </w:rPr>
      <w:t>Discerner pour mieux choisir...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93E"/>
    <w:multiLevelType w:val="multilevel"/>
    <w:tmpl w:val="9AD42A5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4CB4774"/>
    <w:multiLevelType w:val="multilevel"/>
    <w:tmpl w:val="FFD08372"/>
    <w:lvl w:ilvl="0">
      <w:start w:val="1"/>
      <w:numFmt w:val="bullet"/>
      <w:lvlText w:val="⮚"/>
      <w:lvlJc w:val="left"/>
      <w:pPr>
        <w:ind w:left="738" w:hanging="360"/>
      </w:pPr>
      <w:rPr>
        <w:rFonts w:ascii="Noto Sans" w:eastAsia="Noto Sans" w:hAnsi="Noto Sans" w:cs="Noto Sans"/>
        <w:u w:val="none"/>
      </w:rPr>
    </w:lvl>
    <w:lvl w:ilvl="1">
      <w:start w:val="1"/>
      <w:numFmt w:val="lowerLetter"/>
      <w:lvlText w:val="%2."/>
      <w:lvlJc w:val="left"/>
      <w:pPr>
        <w:ind w:left="1458" w:hanging="360"/>
      </w:pPr>
      <w:rPr>
        <w:u w:val="none"/>
      </w:rPr>
    </w:lvl>
    <w:lvl w:ilvl="2">
      <w:start w:val="1"/>
      <w:numFmt w:val="lowerRoman"/>
      <w:lvlText w:val="%3."/>
      <w:lvlJc w:val="right"/>
      <w:pPr>
        <w:ind w:left="2178" w:hanging="360"/>
      </w:pPr>
      <w:rPr>
        <w:u w:val="none"/>
      </w:rPr>
    </w:lvl>
    <w:lvl w:ilvl="3">
      <w:start w:val="1"/>
      <w:numFmt w:val="decimal"/>
      <w:lvlText w:val="%4."/>
      <w:lvlJc w:val="left"/>
      <w:pPr>
        <w:ind w:left="2898" w:hanging="360"/>
      </w:pPr>
      <w:rPr>
        <w:u w:val="none"/>
      </w:rPr>
    </w:lvl>
    <w:lvl w:ilvl="4">
      <w:start w:val="1"/>
      <w:numFmt w:val="lowerLetter"/>
      <w:lvlText w:val="%5."/>
      <w:lvlJc w:val="left"/>
      <w:pPr>
        <w:ind w:left="3618" w:hanging="360"/>
      </w:pPr>
      <w:rPr>
        <w:u w:val="none"/>
      </w:rPr>
    </w:lvl>
    <w:lvl w:ilvl="5">
      <w:start w:val="1"/>
      <w:numFmt w:val="lowerRoman"/>
      <w:lvlText w:val="%6."/>
      <w:lvlJc w:val="right"/>
      <w:pPr>
        <w:ind w:left="4338" w:hanging="360"/>
      </w:pPr>
      <w:rPr>
        <w:u w:val="none"/>
      </w:rPr>
    </w:lvl>
    <w:lvl w:ilvl="6">
      <w:start w:val="1"/>
      <w:numFmt w:val="decimal"/>
      <w:lvlText w:val="%7."/>
      <w:lvlJc w:val="left"/>
      <w:pPr>
        <w:ind w:left="5058" w:hanging="360"/>
      </w:pPr>
      <w:rPr>
        <w:u w:val="none"/>
      </w:rPr>
    </w:lvl>
    <w:lvl w:ilvl="7">
      <w:start w:val="1"/>
      <w:numFmt w:val="lowerLetter"/>
      <w:lvlText w:val="%8."/>
      <w:lvlJc w:val="left"/>
      <w:pPr>
        <w:ind w:left="5778" w:hanging="360"/>
      </w:pPr>
      <w:rPr>
        <w:u w:val="none"/>
      </w:rPr>
    </w:lvl>
    <w:lvl w:ilvl="8">
      <w:start w:val="1"/>
      <w:numFmt w:val="lowerRoman"/>
      <w:lvlText w:val="%9."/>
      <w:lvlJc w:val="right"/>
      <w:pPr>
        <w:ind w:left="6498" w:hanging="360"/>
      </w:pPr>
      <w:rPr>
        <w:u w:val="none"/>
      </w:rPr>
    </w:lvl>
  </w:abstractNum>
  <w:abstractNum w:abstractNumId="2" w15:restartNumberingAfterBreak="0">
    <w:nsid w:val="27E66278"/>
    <w:multiLevelType w:val="multilevel"/>
    <w:tmpl w:val="AD76FBD6"/>
    <w:lvl w:ilvl="0">
      <w:start w:val="1"/>
      <w:numFmt w:val="bullet"/>
      <w:lvlText w:val="●"/>
      <w:lvlJc w:val="left"/>
      <w:pPr>
        <w:ind w:left="928"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5326DA"/>
    <w:multiLevelType w:val="hybridMultilevel"/>
    <w:tmpl w:val="40C41E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7B848FB"/>
    <w:multiLevelType w:val="multilevel"/>
    <w:tmpl w:val="AD76FB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A7602C7"/>
    <w:multiLevelType w:val="multilevel"/>
    <w:tmpl w:val="980225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5D7B7695"/>
    <w:multiLevelType w:val="multilevel"/>
    <w:tmpl w:val="1866846A"/>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FFA35BF"/>
    <w:multiLevelType w:val="hybridMultilevel"/>
    <w:tmpl w:val="1866846A"/>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26B7A63"/>
    <w:multiLevelType w:val="multilevel"/>
    <w:tmpl w:val="E856BE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65BF17AD"/>
    <w:multiLevelType w:val="multilevel"/>
    <w:tmpl w:val="DF28A2A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8"/>
  </w:num>
  <w:num w:numId="3">
    <w:abstractNumId w:val="0"/>
  </w:num>
  <w:num w:numId="4">
    <w:abstractNumId w:val="5"/>
  </w:num>
  <w:num w:numId="5">
    <w:abstractNumId w:val="9"/>
  </w:num>
  <w:num w:numId="6">
    <w:abstractNumId w:val="1"/>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28"/>
    <w:rsid w:val="00000132"/>
    <w:rsid w:val="00003E21"/>
    <w:rsid w:val="000573EA"/>
    <w:rsid w:val="00085D18"/>
    <w:rsid w:val="00086D85"/>
    <w:rsid w:val="001946B2"/>
    <w:rsid w:val="001B17C6"/>
    <w:rsid w:val="002245F3"/>
    <w:rsid w:val="00385609"/>
    <w:rsid w:val="004613F6"/>
    <w:rsid w:val="00477BE6"/>
    <w:rsid w:val="00503DDB"/>
    <w:rsid w:val="00537154"/>
    <w:rsid w:val="00567062"/>
    <w:rsid w:val="00693358"/>
    <w:rsid w:val="0069434C"/>
    <w:rsid w:val="006D0091"/>
    <w:rsid w:val="007C6A88"/>
    <w:rsid w:val="007E6460"/>
    <w:rsid w:val="00821C68"/>
    <w:rsid w:val="00885F55"/>
    <w:rsid w:val="009E61D1"/>
    <w:rsid w:val="00A31806"/>
    <w:rsid w:val="00A97A2E"/>
    <w:rsid w:val="00B04F1E"/>
    <w:rsid w:val="00B53AF3"/>
    <w:rsid w:val="00B900E6"/>
    <w:rsid w:val="00CA3227"/>
    <w:rsid w:val="00D565B5"/>
    <w:rsid w:val="00D64DB8"/>
    <w:rsid w:val="00E8278B"/>
    <w:rsid w:val="00EF5107"/>
    <w:rsid w:val="00F4550B"/>
    <w:rsid w:val="00F81A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F6BE"/>
  <w15:docId w15:val="{C7B8110B-3020-427D-9DB9-EA3C4211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363"/>
  </w:style>
  <w:style w:type="paragraph" w:styleId="Titre1">
    <w:name w:val="heading 1"/>
    <w:basedOn w:val="Normal1"/>
    <w:next w:val="Normal1"/>
    <w:uiPriority w:val="9"/>
    <w:qFormat/>
    <w:rsid w:val="00F54363"/>
    <w:pPr>
      <w:keepNext/>
      <w:keepLines/>
      <w:spacing w:before="480" w:after="120"/>
      <w:outlineLvl w:val="0"/>
    </w:pPr>
    <w:rPr>
      <w:b/>
      <w:sz w:val="48"/>
      <w:szCs w:val="48"/>
    </w:rPr>
  </w:style>
  <w:style w:type="paragraph" w:styleId="Titre2">
    <w:name w:val="heading 2"/>
    <w:basedOn w:val="Normal1"/>
    <w:next w:val="Normal1"/>
    <w:uiPriority w:val="9"/>
    <w:semiHidden/>
    <w:unhideWhenUsed/>
    <w:qFormat/>
    <w:rsid w:val="00F54363"/>
    <w:pPr>
      <w:keepNext/>
      <w:keepLines/>
      <w:spacing w:before="360" w:after="80"/>
      <w:outlineLvl w:val="1"/>
    </w:pPr>
    <w:rPr>
      <w:b/>
      <w:sz w:val="36"/>
      <w:szCs w:val="36"/>
    </w:rPr>
  </w:style>
  <w:style w:type="paragraph" w:styleId="Titre3">
    <w:name w:val="heading 3"/>
    <w:basedOn w:val="Normal1"/>
    <w:next w:val="Normal1"/>
    <w:uiPriority w:val="9"/>
    <w:semiHidden/>
    <w:unhideWhenUsed/>
    <w:qFormat/>
    <w:rsid w:val="00F54363"/>
    <w:pPr>
      <w:keepNext/>
      <w:keepLines/>
      <w:spacing w:before="280" w:after="80"/>
      <w:outlineLvl w:val="2"/>
    </w:pPr>
    <w:rPr>
      <w:b/>
      <w:sz w:val="28"/>
      <w:szCs w:val="28"/>
    </w:rPr>
  </w:style>
  <w:style w:type="paragraph" w:styleId="Titre4">
    <w:name w:val="heading 4"/>
    <w:basedOn w:val="Normal1"/>
    <w:next w:val="Normal1"/>
    <w:uiPriority w:val="9"/>
    <w:semiHidden/>
    <w:unhideWhenUsed/>
    <w:qFormat/>
    <w:rsid w:val="00F54363"/>
    <w:pPr>
      <w:keepNext/>
      <w:keepLines/>
      <w:spacing w:before="240" w:after="40"/>
      <w:outlineLvl w:val="3"/>
    </w:pPr>
    <w:rPr>
      <w:b/>
    </w:rPr>
  </w:style>
  <w:style w:type="paragraph" w:styleId="Titre5">
    <w:name w:val="heading 5"/>
    <w:basedOn w:val="Normal1"/>
    <w:next w:val="Normal1"/>
    <w:uiPriority w:val="9"/>
    <w:semiHidden/>
    <w:unhideWhenUsed/>
    <w:qFormat/>
    <w:rsid w:val="00F54363"/>
    <w:pPr>
      <w:keepNext/>
      <w:keepLines/>
      <w:spacing w:before="220" w:after="40"/>
      <w:outlineLvl w:val="4"/>
    </w:pPr>
    <w:rPr>
      <w:b/>
      <w:sz w:val="22"/>
      <w:szCs w:val="22"/>
    </w:rPr>
  </w:style>
  <w:style w:type="paragraph" w:styleId="Titre6">
    <w:name w:val="heading 6"/>
    <w:basedOn w:val="Normal1"/>
    <w:next w:val="Normal1"/>
    <w:uiPriority w:val="9"/>
    <w:semiHidden/>
    <w:unhideWhenUsed/>
    <w:qFormat/>
    <w:rsid w:val="00F5436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0">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uiPriority w:val="10"/>
    <w:qFormat/>
    <w:rsid w:val="00F54363"/>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1">
    <w:name w:val="Normal1"/>
    <w:rsid w:val="00F54363"/>
  </w:style>
  <w:style w:type="table" w:customStyle="1" w:styleId="TableNormal2">
    <w:name w:val="Table Normal"/>
    <w:rsid w:val="00F54363"/>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52A66"/>
    <w:rPr>
      <w:rFonts w:ascii="Tahoma" w:hAnsi="Tahoma" w:cs="Tahoma"/>
      <w:sz w:val="16"/>
      <w:szCs w:val="16"/>
    </w:rPr>
  </w:style>
  <w:style w:type="character" w:customStyle="1" w:styleId="TextedebullesCar">
    <w:name w:val="Texte de bulles Car"/>
    <w:basedOn w:val="Policepardfaut"/>
    <w:link w:val="Textedebulles"/>
    <w:uiPriority w:val="99"/>
    <w:semiHidden/>
    <w:rsid w:val="00752A66"/>
    <w:rPr>
      <w:rFonts w:ascii="Tahoma" w:hAnsi="Tahoma" w:cs="Tahoma"/>
      <w:sz w:val="16"/>
      <w:szCs w:val="16"/>
    </w:rPr>
  </w:style>
  <w:style w:type="paragraph" w:styleId="Paragraphedeliste">
    <w:name w:val="List Paragraph"/>
    <w:basedOn w:val="Normal"/>
    <w:uiPriority w:val="34"/>
    <w:qFormat/>
    <w:rsid w:val="00752A66"/>
    <w:pPr>
      <w:ind w:left="720"/>
      <w:contextualSpacing/>
    </w:pPr>
  </w:style>
  <w:style w:type="paragraph" w:styleId="NormalWeb">
    <w:name w:val="Normal (Web)"/>
    <w:basedOn w:val="Normal"/>
    <w:uiPriority w:val="99"/>
    <w:unhideWhenUsed/>
    <w:rsid w:val="00EF7D67"/>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DB494B"/>
    <w:rPr>
      <w:sz w:val="16"/>
      <w:szCs w:val="16"/>
    </w:rPr>
  </w:style>
  <w:style w:type="paragraph" w:styleId="Commentaire">
    <w:name w:val="annotation text"/>
    <w:basedOn w:val="Normal"/>
    <w:link w:val="CommentaireCar"/>
    <w:uiPriority w:val="99"/>
    <w:semiHidden/>
    <w:unhideWhenUsed/>
    <w:rsid w:val="00DB494B"/>
    <w:rPr>
      <w:sz w:val="20"/>
      <w:szCs w:val="20"/>
    </w:rPr>
  </w:style>
  <w:style w:type="character" w:customStyle="1" w:styleId="CommentaireCar">
    <w:name w:val="Commentaire Car"/>
    <w:basedOn w:val="Policepardfaut"/>
    <w:link w:val="Commentaire"/>
    <w:uiPriority w:val="99"/>
    <w:semiHidden/>
    <w:rsid w:val="00DB494B"/>
    <w:rPr>
      <w:sz w:val="20"/>
      <w:szCs w:val="20"/>
    </w:rPr>
  </w:style>
  <w:style w:type="paragraph" w:styleId="Objetducommentaire">
    <w:name w:val="annotation subject"/>
    <w:basedOn w:val="Commentaire"/>
    <w:next w:val="Commentaire"/>
    <w:link w:val="ObjetducommentaireCar"/>
    <w:uiPriority w:val="99"/>
    <w:semiHidden/>
    <w:unhideWhenUsed/>
    <w:rsid w:val="00DB494B"/>
    <w:rPr>
      <w:b/>
      <w:bCs/>
    </w:rPr>
  </w:style>
  <w:style w:type="character" w:customStyle="1" w:styleId="ObjetducommentaireCar">
    <w:name w:val="Objet du commentaire Car"/>
    <w:basedOn w:val="CommentaireCar"/>
    <w:link w:val="Objetducommentaire"/>
    <w:uiPriority w:val="99"/>
    <w:semiHidden/>
    <w:rsid w:val="00DB494B"/>
    <w:rPr>
      <w:b/>
      <w:bCs/>
      <w:sz w:val="20"/>
      <w:szCs w:val="20"/>
    </w:rPr>
  </w:style>
  <w:style w:type="character" w:styleId="Lienhypertexte">
    <w:name w:val="Hyperlink"/>
    <w:basedOn w:val="Policepardfaut"/>
    <w:uiPriority w:val="99"/>
    <w:unhideWhenUsed/>
    <w:rsid w:val="00871C84"/>
    <w:rPr>
      <w:color w:val="0000FF" w:themeColor="hyperlink"/>
      <w:u w:val="single"/>
    </w:rPr>
  </w:style>
  <w:style w:type="character" w:styleId="Lienhypertextesuivivisit">
    <w:name w:val="FollowedHyperlink"/>
    <w:basedOn w:val="Policepardfaut"/>
    <w:uiPriority w:val="99"/>
    <w:semiHidden/>
    <w:unhideWhenUsed/>
    <w:rsid w:val="00871C84"/>
    <w:rPr>
      <w:color w:val="800080" w:themeColor="followedHyperlink"/>
      <w:u w:val="single"/>
    </w:rPr>
  </w:style>
  <w:style w:type="character" w:customStyle="1" w:styleId="apple-tab-span">
    <w:name w:val="apple-tab-span"/>
    <w:basedOn w:val="Policepardfaut"/>
    <w:rsid w:val="001B682F"/>
  </w:style>
  <w:style w:type="character" w:customStyle="1" w:styleId="Mentionnonrsolue1">
    <w:name w:val="Mention non résolue1"/>
    <w:basedOn w:val="Policepardfaut"/>
    <w:uiPriority w:val="99"/>
    <w:semiHidden/>
    <w:unhideWhenUsed/>
    <w:rsid w:val="00A10D49"/>
    <w:rPr>
      <w:color w:val="605E5C"/>
      <w:shd w:val="clear" w:color="auto" w:fill="E1DFDD"/>
    </w:rPr>
  </w:style>
  <w:style w:type="paragraph" w:styleId="Notedebasdepage">
    <w:name w:val="footnote text"/>
    <w:basedOn w:val="Normal"/>
    <w:link w:val="NotedebasdepageCar"/>
    <w:uiPriority w:val="99"/>
    <w:unhideWhenUsed/>
    <w:rsid w:val="000D3D75"/>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0D3D75"/>
    <w:rPr>
      <w:rFonts w:asciiTheme="minorHAnsi" w:eastAsiaTheme="minorEastAsia" w:hAnsiTheme="minorHAnsi" w:cstheme="minorBidi"/>
    </w:rPr>
  </w:style>
  <w:style w:type="character" w:styleId="Appelnotedebasdep">
    <w:name w:val="footnote reference"/>
    <w:basedOn w:val="Policepardfaut"/>
    <w:uiPriority w:val="99"/>
    <w:unhideWhenUsed/>
    <w:rsid w:val="000D3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1289">
      <w:bodyDiv w:val="1"/>
      <w:marLeft w:val="0"/>
      <w:marRight w:val="0"/>
      <w:marTop w:val="0"/>
      <w:marBottom w:val="0"/>
      <w:divBdr>
        <w:top w:val="none" w:sz="0" w:space="0" w:color="auto"/>
        <w:left w:val="none" w:sz="0" w:space="0" w:color="auto"/>
        <w:bottom w:val="none" w:sz="0" w:space="0" w:color="auto"/>
        <w:right w:val="none" w:sz="0" w:space="0" w:color="auto"/>
      </w:divBdr>
    </w:div>
    <w:div w:id="2130473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gesorthodoxes.net/mere-de-dieu/md-acathis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ecli.cef.fr/images/apercus/fiche11651.png" TargetMode="External"/><Relationship Id="rId4" Type="http://schemas.openxmlformats.org/officeDocument/2006/relationships/settings" Target="settings.xml"/><Relationship Id="rId9" Type="http://schemas.openxmlformats.org/officeDocument/2006/relationships/hyperlink" Target="http://www.pagesorthodoxes.net/mere-de-dieu/md-acathiste.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roman_curia/congregations/ccdds/documents/rc_con_ccdds_doc_20020513_vers-direttorio_f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oqf4CbbuG44SiO4Nxrltcx5g==">AMUW2mUXwuVAokKypJWLsf2ZGnB1PX7jraOYnzABQin7Ud2NgjZjyVhiPc3AdvS6J03x3+tvSXvZcywOYPq61CQUMqE6HjqacBOaKsbjA4D860mh6b91s+TLqoA/BmB80CNeymLoyJLvxN7GWRnyfD4S41KGMxyZWTxySxAD7/raSLQmgmrfhTo=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2879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François-Xavier Ledoux</dc:creator>
  <cp:lastModifiedBy>Benoit Baumgartner (SNPLS/M.)</cp:lastModifiedBy>
  <cp:revision>3</cp:revision>
  <dcterms:created xsi:type="dcterms:W3CDTF">2022-11-27T13:44:00Z</dcterms:created>
  <dcterms:modified xsi:type="dcterms:W3CDTF">2022-11-27T13:50:00Z</dcterms:modified>
</cp:coreProperties>
</file>